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4325E1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3 –  Μαθήματα  Ειδίκευσης  Θεωρητικά – Πρακτικά – Μικτά 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F46965" w:rsidP="00F46965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ΕΙΔΙΚΗ ΠΡΟΠΟΝΗΤΙΚΗ ΑΡΣΗΣ ΒΑΡΩΝ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Default="00CA7B63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ΓΕΩΡΓΙΟΣ </w:t>
            </w:r>
            <w:r w:rsidR="00C96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ΣΑΡΟΓΛΑΚΗΣ</w:t>
            </w:r>
            <w:r w:rsidR="004325E1">
              <w:rPr>
                <w:sz w:val="28"/>
                <w:szCs w:val="28"/>
              </w:rPr>
              <w:t xml:space="preserve"> -  ΕΕΠ  ΣΕΦΑΑ -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C9620D" w:rsidRDefault="00B61AD5" w:rsidP="0073727F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1.</w:t>
            </w:r>
            <w:r w:rsidR="00F46965" w:rsidRPr="00C9620D">
              <w:rPr>
                <w:rFonts w:ascii="Franklin Gothic Book" w:eastAsia="+mj-ea" w:hAnsi="Franklin Gothic Book" w:cs="+mj-cs"/>
                <w:bCs/>
                <w:color w:val="FFFFFF"/>
                <w:kern w:val="24"/>
                <w:sz w:val="64"/>
                <w:szCs w:val="64"/>
              </w:rPr>
              <w:t xml:space="preserve"> </w:t>
            </w:r>
            <w:r w:rsidR="00F46965" w:rsidRPr="00C9620D">
              <w:rPr>
                <w:bCs/>
                <w:sz w:val="28"/>
                <w:szCs w:val="28"/>
              </w:rPr>
              <w:t>Μέθοδοι  προπόνησης  της μυϊκής δύναμης  στην  άρση βαρών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F46965">
            <w:pPr>
              <w:ind w:left="-5"/>
              <w:jc w:val="both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2.</w:t>
            </w:r>
            <w:r w:rsidR="00F46965" w:rsidRPr="00C9620D">
              <w:rPr>
                <w:rFonts w:ascii="Arial" w:eastAsia="+mn-ea" w:hAnsi="Arial" w:cs="+mn-cs"/>
                <w:bCs/>
                <w:color w:val="FFFFFF"/>
                <w:kern w:val="24"/>
                <w:sz w:val="46"/>
                <w:szCs w:val="46"/>
                <w:u w:val="single"/>
                <w:lang w:eastAsia="el-GR"/>
              </w:rPr>
              <w:t xml:space="preserve"> </w:t>
            </w:r>
            <w:r w:rsidR="005F09E3" w:rsidRPr="00C9620D">
              <w:rPr>
                <w:bCs/>
                <w:sz w:val="28"/>
                <w:szCs w:val="28"/>
              </w:rPr>
              <w:t>Μέθοδος των μέγιστων ή βραχύχρονων προσπαθειών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F46965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3.</w:t>
            </w:r>
            <w:r w:rsidR="00F46965" w:rsidRPr="00C9620D">
              <w:rPr>
                <w:rFonts w:ascii="Arial" w:eastAsia="+mn-ea" w:hAnsi="Arial" w:cs="+mn-cs"/>
                <w:bCs/>
                <w:color w:val="FFFFFF"/>
                <w:kern w:val="24"/>
                <w:sz w:val="72"/>
                <w:szCs w:val="72"/>
                <w:u w:val="single"/>
                <w:lang w:eastAsia="el-GR"/>
              </w:rPr>
              <w:t xml:space="preserve"> </w:t>
            </w:r>
            <w:r w:rsidR="00F46965" w:rsidRPr="00C9620D">
              <w:rPr>
                <w:bCs/>
                <w:sz w:val="28"/>
                <w:szCs w:val="28"/>
              </w:rPr>
              <w:t>Μέθοδος των επαναληπτικών προσπαθειών</w:t>
            </w:r>
            <w:r w:rsidR="00F46965" w:rsidRPr="00C9620D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F46965">
            <w:pPr>
              <w:ind w:left="-5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4.</w:t>
            </w:r>
            <w:r w:rsidR="00F46965" w:rsidRPr="00C9620D">
              <w:rPr>
                <w:rFonts w:ascii="Arial" w:eastAsia="+mn-ea" w:hAnsi="Arial" w:cs="+mn-cs"/>
                <w:bCs/>
                <w:color w:val="FFFFFF"/>
                <w:kern w:val="24"/>
                <w:sz w:val="58"/>
                <w:szCs w:val="58"/>
                <w:lang w:eastAsia="el-GR"/>
              </w:rPr>
              <w:t xml:space="preserve"> </w:t>
            </w:r>
            <w:r w:rsidR="005F09E3" w:rsidRPr="00C9620D">
              <w:rPr>
                <w:bCs/>
                <w:sz w:val="28"/>
                <w:szCs w:val="28"/>
              </w:rPr>
              <w:t>Μέθοδος  των ακραίων  εσχάτων  προσπαθειών  (μέχρι  την άρνηση)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F46965">
            <w:pPr>
              <w:ind w:left="-5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5.</w:t>
            </w:r>
            <w:r w:rsidR="00F46965" w:rsidRPr="00C9620D">
              <w:rPr>
                <w:rFonts w:ascii="Arial" w:eastAsia="+mn-ea" w:hAnsi="Arial" w:cs="Arial"/>
                <w:bCs/>
                <w:color w:val="FFFFFF"/>
                <w:kern w:val="24"/>
                <w:sz w:val="60"/>
                <w:szCs w:val="60"/>
                <w:lang w:eastAsia="el-GR"/>
              </w:rPr>
              <w:t xml:space="preserve"> </w:t>
            </w:r>
            <w:r w:rsidR="005F09E3" w:rsidRPr="00C9620D">
              <w:rPr>
                <w:bCs/>
                <w:sz w:val="28"/>
                <w:szCs w:val="28"/>
              </w:rPr>
              <w:t>Μέθοδος της υποχωρητικής προσπάθειας (πλειομετρική)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73727F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6.</w:t>
            </w:r>
            <w:r w:rsidR="00F46965" w:rsidRPr="00C9620D">
              <w:rPr>
                <w:rFonts w:ascii="Calibri" w:eastAsia="+mn-ea" w:hAnsi="Calibri" w:cs="+mn-cs"/>
                <w:bCs/>
                <w:color w:val="FFFFFF"/>
                <w:kern w:val="24"/>
                <w:sz w:val="86"/>
                <w:szCs w:val="86"/>
              </w:rPr>
              <w:t xml:space="preserve"> </w:t>
            </w:r>
            <w:r w:rsidR="00F46965" w:rsidRPr="00C9620D">
              <w:rPr>
                <w:bCs/>
                <w:sz w:val="28"/>
                <w:szCs w:val="28"/>
              </w:rPr>
              <w:t xml:space="preserve">Μέθοδος </w:t>
            </w:r>
            <w:r w:rsidR="00F46965" w:rsidRPr="00C9620D">
              <w:rPr>
                <w:sz w:val="28"/>
                <w:szCs w:val="28"/>
              </w:rPr>
              <w:t xml:space="preserve">των </w:t>
            </w:r>
            <w:r w:rsidR="00F46965" w:rsidRPr="00C9620D">
              <w:rPr>
                <w:bCs/>
                <w:sz w:val="28"/>
                <w:szCs w:val="28"/>
              </w:rPr>
              <w:t>δυναμικών προσπαθειών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F46965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7.</w:t>
            </w:r>
            <w:r w:rsidR="00F46965" w:rsidRPr="00C9620D">
              <w:rPr>
                <w:rFonts w:ascii="Arial" w:eastAsia="+mn-ea" w:hAnsi="Arial" w:cs="Arial"/>
                <w:bCs/>
                <w:color w:val="FFFFFF"/>
                <w:kern w:val="24"/>
                <w:sz w:val="80"/>
                <w:szCs w:val="80"/>
                <w:lang w:eastAsia="el-GR"/>
              </w:rPr>
              <w:t xml:space="preserve"> </w:t>
            </w:r>
            <w:r w:rsidR="00F46965" w:rsidRPr="00C9620D">
              <w:rPr>
                <w:bCs/>
                <w:sz w:val="28"/>
                <w:szCs w:val="28"/>
              </w:rPr>
              <w:t>Μέθοδος  συνδυασμένου  προγράμματος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340BE9">
            <w:pPr>
              <w:ind w:hanging="5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8.</w:t>
            </w:r>
            <w:r w:rsidR="00F46965" w:rsidRPr="00C9620D">
              <w:rPr>
                <w:rFonts w:ascii="Arial" w:eastAsia="+mn-ea" w:hAnsi="Arial" w:cs="Arial"/>
                <w:bCs/>
                <w:color w:val="FFFFFF"/>
                <w:kern w:val="24"/>
                <w:sz w:val="60"/>
                <w:szCs w:val="60"/>
                <w:lang w:eastAsia="el-GR"/>
              </w:rPr>
              <w:t xml:space="preserve"> </w:t>
            </w:r>
            <w:r w:rsidR="00F46965" w:rsidRPr="00C9620D">
              <w:rPr>
                <w:bCs/>
                <w:sz w:val="28"/>
                <w:szCs w:val="28"/>
              </w:rPr>
              <w:t>Ηλεκτροδιεγερτική μέθοδος</w:t>
            </w:r>
            <w:r w:rsidR="00340BE9" w:rsidRPr="00C9620D">
              <w:rPr>
                <w:bCs/>
                <w:sz w:val="28"/>
                <w:szCs w:val="28"/>
              </w:rPr>
              <w:t xml:space="preserve"> , </w:t>
            </w:r>
            <w:r w:rsidR="005F09E3" w:rsidRPr="00C9620D">
              <w:rPr>
                <w:bCs/>
                <w:sz w:val="28"/>
                <w:szCs w:val="28"/>
              </w:rPr>
              <w:t>Ισοκινητική μέθοδος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3639C5" w:rsidRPr="00C9620D" w:rsidRDefault="00B61AD5" w:rsidP="00C9620D">
            <w:pPr>
              <w:pStyle w:val="a4"/>
              <w:rPr>
                <w:kern w:val="24"/>
                <w:sz w:val="28"/>
                <w:szCs w:val="28"/>
                <w:lang w:eastAsia="el-GR"/>
              </w:rPr>
            </w:pPr>
            <w:r w:rsidRPr="00C9620D">
              <w:rPr>
                <w:sz w:val="28"/>
                <w:szCs w:val="28"/>
              </w:rPr>
              <w:t>9.</w:t>
            </w:r>
            <w:r w:rsidR="00340BE9" w:rsidRPr="00C9620D">
              <w:rPr>
                <w:sz w:val="28"/>
                <w:szCs w:val="28"/>
              </w:rPr>
              <w:t xml:space="preserve"> </w:t>
            </w:r>
            <w:r w:rsidR="00340BE9" w:rsidRPr="00C9620D">
              <w:rPr>
                <w:kern w:val="24"/>
                <w:sz w:val="28"/>
                <w:szCs w:val="28"/>
                <w:lang w:eastAsia="el-GR"/>
              </w:rPr>
              <w:t>Εφαρμογή των παραπάνω μεθόδων στην Αρση Βαρών.</w:t>
            </w:r>
            <w:r w:rsidR="00C9620D" w:rsidRPr="00C9620D">
              <w:rPr>
                <w:kern w:val="24"/>
                <w:sz w:val="28"/>
                <w:szCs w:val="28"/>
                <w:lang w:eastAsia="el-GR"/>
              </w:rPr>
              <w:t xml:space="preserve"> Μέθοδος των επαναλήψεων με σταθερό βάρος.</w:t>
            </w:r>
          </w:p>
          <w:p w:rsidR="00B61AD5" w:rsidRDefault="00C9620D" w:rsidP="00C9620D">
            <w:pPr>
              <w:pStyle w:val="a4"/>
              <w:rPr>
                <w:kern w:val="24"/>
                <w:sz w:val="28"/>
                <w:szCs w:val="28"/>
                <w:lang w:eastAsia="el-GR"/>
              </w:rPr>
            </w:pPr>
            <w:r w:rsidRPr="00C9620D">
              <w:rPr>
                <w:kern w:val="24"/>
                <w:sz w:val="28"/>
                <w:szCs w:val="28"/>
                <w:lang w:eastAsia="el-GR"/>
              </w:rPr>
              <w:t>Μέθοδος των επαναλήψεων με μεταβλητό βάρος.</w:t>
            </w:r>
          </w:p>
          <w:p w:rsidR="00C9620D" w:rsidRPr="00C9620D" w:rsidRDefault="00C9620D" w:rsidP="00C9620D">
            <w:pPr>
              <w:pStyle w:val="a4"/>
            </w:pPr>
          </w:p>
        </w:tc>
      </w:tr>
      <w:tr w:rsidR="00C9620D" w:rsidTr="0073727F">
        <w:trPr>
          <w:trHeight w:val="510"/>
        </w:trPr>
        <w:tc>
          <w:tcPr>
            <w:tcW w:w="1710" w:type="dxa"/>
            <w:vMerge/>
          </w:tcPr>
          <w:p w:rsidR="00C9620D" w:rsidRDefault="00C9620D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9620D" w:rsidRPr="00C9620D" w:rsidRDefault="00C9620D" w:rsidP="00C9620D">
            <w:pPr>
              <w:pStyle w:val="a4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 xml:space="preserve">10. </w:t>
            </w:r>
            <w:r w:rsidRPr="00C9620D">
              <w:rPr>
                <w:rFonts w:ascii="Calibri" w:eastAsia="+mn-ea" w:hAnsi="Calibri" w:cs="+mn-cs"/>
                <w:bCs/>
                <w:color w:val="000000" w:themeColor="text1"/>
                <w:kern w:val="24"/>
                <w:sz w:val="28"/>
                <w:szCs w:val="28"/>
                <w:lang w:eastAsia="el-GR"/>
              </w:rPr>
              <w:t>Μέθοδος με μονές επαναλήψεις με σταθερό βάρος.</w:t>
            </w:r>
            <w:r w:rsidRPr="00C9620D">
              <w:rPr>
                <w:sz w:val="28"/>
                <w:szCs w:val="28"/>
              </w:rPr>
              <w:t xml:space="preserve"> </w:t>
            </w:r>
          </w:p>
          <w:p w:rsidR="00C9620D" w:rsidRDefault="00C9620D" w:rsidP="00C9620D">
            <w:pPr>
              <w:pStyle w:val="a4"/>
              <w:rPr>
                <w:rFonts w:ascii="Calibri" w:eastAsia="+mn-ea" w:hAnsi="Calibri" w:cs="+mn-cs"/>
                <w:bCs/>
                <w:color w:val="000000" w:themeColor="text1"/>
                <w:kern w:val="24"/>
                <w:sz w:val="28"/>
                <w:szCs w:val="28"/>
                <w:lang w:eastAsia="el-GR"/>
              </w:rPr>
            </w:pPr>
            <w:r w:rsidRPr="00C9620D">
              <w:rPr>
                <w:rFonts w:ascii="Calibri" w:eastAsia="+mn-ea" w:hAnsi="Calibri" w:cs="+mn-cs"/>
                <w:bCs/>
                <w:color w:val="000000" w:themeColor="text1"/>
                <w:kern w:val="24"/>
                <w:sz w:val="28"/>
                <w:szCs w:val="28"/>
                <w:lang w:eastAsia="el-GR"/>
              </w:rPr>
              <w:t>Μέθοδος με</w:t>
            </w:r>
            <w:r>
              <w:rPr>
                <w:rFonts w:ascii="Calibri" w:eastAsia="+mn-ea" w:hAnsi="Calibri" w:cs="+mn-cs"/>
                <w:bCs/>
                <w:color w:val="000000" w:themeColor="text1"/>
                <w:kern w:val="24"/>
                <w:sz w:val="28"/>
                <w:szCs w:val="28"/>
                <w:lang w:eastAsia="el-GR"/>
              </w:rPr>
              <w:t xml:space="preserve"> μονές επαναλήψεις με μεταβλητό βάρος.</w:t>
            </w:r>
          </w:p>
          <w:p w:rsidR="00C9620D" w:rsidRPr="00C9620D" w:rsidRDefault="00C9620D" w:rsidP="00C9620D">
            <w:pPr>
              <w:pStyle w:val="a4"/>
              <w:rPr>
                <w:sz w:val="28"/>
                <w:szCs w:val="28"/>
              </w:rPr>
            </w:pPr>
          </w:p>
        </w:tc>
      </w:tr>
      <w:tr w:rsidR="005F09E3" w:rsidTr="0073727F">
        <w:trPr>
          <w:trHeight w:val="510"/>
        </w:trPr>
        <w:tc>
          <w:tcPr>
            <w:tcW w:w="1710" w:type="dxa"/>
            <w:vMerge/>
          </w:tcPr>
          <w:p w:rsidR="005F09E3" w:rsidRDefault="005F09E3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3639C5" w:rsidRPr="005F09E3" w:rsidRDefault="005F09E3" w:rsidP="005F09E3">
            <w:pPr>
              <w:pStyle w:val="a4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F09E3">
              <w:rPr>
                <w:sz w:val="28"/>
                <w:szCs w:val="28"/>
              </w:rPr>
              <w:t>Μ</w:t>
            </w:r>
            <w:r>
              <w:rPr>
                <w:sz w:val="28"/>
                <w:szCs w:val="28"/>
              </w:rPr>
              <w:t>έθοδος του συνδυασμού.</w:t>
            </w:r>
          </w:p>
          <w:p w:rsidR="003639C5" w:rsidRPr="005F09E3" w:rsidRDefault="005F09E3" w:rsidP="005F09E3">
            <w:pPr>
              <w:pStyle w:val="a4"/>
              <w:ind w:left="-5"/>
              <w:rPr>
                <w:sz w:val="28"/>
                <w:szCs w:val="28"/>
              </w:rPr>
            </w:pPr>
            <w:r w:rsidRPr="005F09E3">
              <w:rPr>
                <w:sz w:val="28"/>
                <w:szCs w:val="28"/>
              </w:rPr>
              <w:t>Μ</w:t>
            </w:r>
            <w:r>
              <w:rPr>
                <w:sz w:val="28"/>
                <w:szCs w:val="28"/>
              </w:rPr>
              <w:t>έθοδος των μεταβλητών επαναλήψεων με σταθερό βάρος.</w:t>
            </w:r>
          </w:p>
          <w:p w:rsidR="005F09E3" w:rsidRPr="00C9620D" w:rsidRDefault="005F09E3" w:rsidP="00C9620D">
            <w:pPr>
              <w:pStyle w:val="a4"/>
              <w:rPr>
                <w:sz w:val="28"/>
                <w:szCs w:val="28"/>
              </w:rPr>
            </w:pP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C9620D" w:rsidRDefault="00B61AD5" w:rsidP="005F09E3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1</w:t>
            </w:r>
            <w:r w:rsidR="005F09E3">
              <w:rPr>
                <w:sz w:val="28"/>
                <w:szCs w:val="28"/>
              </w:rPr>
              <w:t>2</w:t>
            </w:r>
            <w:r w:rsidRPr="00C9620D">
              <w:rPr>
                <w:sz w:val="28"/>
                <w:szCs w:val="28"/>
              </w:rPr>
              <w:t>.</w:t>
            </w:r>
            <w:r w:rsidR="00340BE9" w:rsidRPr="00C9620D">
              <w:rPr>
                <w:bCs/>
                <w:sz w:val="28"/>
                <w:szCs w:val="28"/>
              </w:rPr>
              <w:t xml:space="preserve">Πρώτος χρόνος προπόνησης (13-14 ετών). Σκοπός και καθήκοντα της προετοιμασίας. Σχεδιασμός της </w:t>
            </w:r>
            <w:r w:rsidR="00340BE9" w:rsidRPr="00C9620D">
              <w:rPr>
                <w:bCs/>
                <w:sz w:val="28"/>
                <w:szCs w:val="28"/>
              </w:rPr>
              <w:lastRenderedPageBreak/>
              <w:t>προετοιμασίας.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Pr="00C9620D" w:rsidRDefault="00B61AD5" w:rsidP="005F09E3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1</w:t>
            </w:r>
            <w:r w:rsidR="005F09E3">
              <w:rPr>
                <w:sz w:val="28"/>
                <w:szCs w:val="28"/>
              </w:rPr>
              <w:t>3</w:t>
            </w:r>
            <w:r w:rsidRPr="00C9620D">
              <w:rPr>
                <w:sz w:val="28"/>
                <w:szCs w:val="28"/>
              </w:rPr>
              <w:t>.</w:t>
            </w:r>
            <w:r w:rsidR="00340BE9" w:rsidRPr="00C9620D">
              <w:rPr>
                <w:sz w:val="28"/>
                <w:szCs w:val="28"/>
              </w:rPr>
              <w:t>Ανάλυση Ημερήσιων προπονητικών προγραμμάτων.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Pr="00C9620D" w:rsidRDefault="00B61AD5" w:rsidP="005F09E3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1</w:t>
            </w:r>
            <w:r w:rsidR="005F09E3">
              <w:rPr>
                <w:sz w:val="28"/>
                <w:szCs w:val="28"/>
              </w:rPr>
              <w:t>4</w:t>
            </w:r>
            <w:r w:rsidRPr="00C9620D">
              <w:rPr>
                <w:sz w:val="28"/>
                <w:szCs w:val="28"/>
              </w:rPr>
              <w:t>.</w:t>
            </w:r>
            <w:r w:rsidR="00340BE9" w:rsidRPr="00C9620D">
              <w:rPr>
                <w:bCs/>
                <w:sz w:val="28"/>
                <w:szCs w:val="28"/>
              </w:rPr>
              <w:t xml:space="preserve"> Στάδιο  ειδικής προετοιμασίας (14-16 ετών).  Σκοπός και καθήκοντα της προετοιμασίας. Σχεδιασμός της προετοιμασίας.</w:t>
            </w:r>
          </w:p>
        </w:tc>
      </w:tr>
      <w:tr w:rsidR="00B61AD5" w:rsidTr="0073727F">
        <w:trPr>
          <w:trHeight w:val="42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Pr="00C9620D" w:rsidRDefault="00B61AD5" w:rsidP="005F09E3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1</w:t>
            </w:r>
            <w:r w:rsidR="005F09E3">
              <w:rPr>
                <w:sz w:val="28"/>
                <w:szCs w:val="28"/>
              </w:rPr>
              <w:t>5</w:t>
            </w:r>
            <w:r w:rsidRPr="00C9620D">
              <w:rPr>
                <w:sz w:val="28"/>
                <w:szCs w:val="28"/>
              </w:rPr>
              <w:t>.</w:t>
            </w:r>
            <w:r w:rsidR="00340BE9" w:rsidRPr="00C9620D">
              <w:rPr>
                <w:sz w:val="28"/>
                <w:szCs w:val="28"/>
              </w:rPr>
              <w:t xml:space="preserve"> Ανάλυση</w:t>
            </w:r>
            <w:r w:rsidR="00C9620D" w:rsidRPr="00C9620D">
              <w:rPr>
                <w:sz w:val="28"/>
                <w:szCs w:val="28"/>
              </w:rPr>
              <w:t xml:space="preserve"> όλων των </w:t>
            </w:r>
            <w:r w:rsidR="00340BE9" w:rsidRPr="00C9620D">
              <w:rPr>
                <w:sz w:val="28"/>
                <w:szCs w:val="28"/>
              </w:rPr>
              <w:t xml:space="preserve"> </w:t>
            </w:r>
            <w:r w:rsidR="00C9620D" w:rsidRPr="00C9620D">
              <w:rPr>
                <w:sz w:val="28"/>
                <w:szCs w:val="28"/>
              </w:rPr>
              <w:t>η</w:t>
            </w:r>
            <w:r w:rsidR="00340BE9" w:rsidRPr="00C9620D">
              <w:rPr>
                <w:sz w:val="28"/>
                <w:szCs w:val="28"/>
              </w:rPr>
              <w:t>μερήσιων προπονητικών προγραμμάτων</w:t>
            </w:r>
            <w:r w:rsidR="00C9620D" w:rsidRPr="00C9620D">
              <w:rPr>
                <w:sz w:val="28"/>
                <w:szCs w:val="28"/>
              </w:rPr>
              <w:t xml:space="preserve"> της περιόδου αυτής.</w:t>
            </w:r>
          </w:p>
        </w:tc>
      </w:tr>
      <w:tr w:rsidR="00B61AD5" w:rsidTr="0073727F">
        <w:trPr>
          <w:trHeight w:val="61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Pr="00C9620D" w:rsidRDefault="00B61AD5" w:rsidP="005F09E3">
            <w:pPr>
              <w:ind w:left="-30"/>
              <w:rPr>
                <w:sz w:val="28"/>
                <w:szCs w:val="28"/>
              </w:rPr>
            </w:pPr>
            <w:r w:rsidRPr="00C9620D">
              <w:rPr>
                <w:sz w:val="28"/>
                <w:szCs w:val="28"/>
              </w:rPr>
              <w:t>1</w:t>
            </w:r>
            <w:r w:rsidR="005F09E3">
              <w:rPr>
                <w:sz w:val="28"/>
                <w:szCs w:val="28"/>
              </w:rPr>
              <w:t>6</w:t>
            </w:r>
            <w:r w:rsidRPr="00C9620D">
              <w:rPr>
                <w:sz w:val="28"/>
                <w:szCs w:val="28"/>
              </w:rPr>
              <w:t>.</w:t>
            </w:r>
            <w:r w:rsidR="00C9620D" w:rsidRPr="00C9620D">
              <w:rPr>
                <w:bCs/>
                <w:sz w:val="28"/>
                <w:szCs w:val="28"/>
              </w:rPr>
              <w:t xml:space="preserve"> Στάδιο  τελειοποίησης των υψηλών επιδόσεων (16-18 ετών).  Σκοπός και καθήκοντα της προετοιμασίας. Σχεδιασμός της προετοιμασίας.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5F09E3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9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9620D">
              <w:rPr>
                <w:sz w:val="28"/>
                <w:szCs w:val="28"/>
              </w:rPr>
              <w:t xml:space="preserve"> Ανάλυση όλων ημερήσιων προπονητικών προγραμμάτων της περιόδου αυτής.</w:t>
            </w:r>
          </w:p>
        </w:tc>
      </w:tr>
    </w:tbl>
    <w:p w:rsidR="00B6025A" w:rsidRPr="00730896" w:rsidRDefault="00B6025A" w:rsidP="004325E1">
      <w:pPr>
        <w:rPr>
          <w:sz w:val="28"/>
          <w:szCs w:val="28"/>
        </w:rPr>
      </w:pPr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05E"/>
    <w:multiLevelType w:val="hybridMultilevel"/>
    <w:tmpl w:val="FEA83EE6"/>
    <w:lvl w:ilvl="0" w:tplc="535C656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C188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9104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8E70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80F4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2805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7A4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A3D2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E6F3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232ADA"/>
    <w:multiLevelType w:val="hybridMultilevel"/>
    <w:tmpl w:val="6B423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0097"/>
    <w:multiLevelType w:val="hybridMultilevel"/>
    <w:tmpl w:val="9180511E"/>
    <w:lvl w:ilvl="0" w:tplc="7742A38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AE1A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8760E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45CD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818E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877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5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A430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BEC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2977AC"/>
    <w:multiLevelType w:val="hybridMultilevel"/>
    <w:tmpl w:val="AA1EB170"/>
    <w:lvl w:ilvl="0" w:tplc="AD563D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4D6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CF41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47F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0F1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E6E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CBB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4ED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FA95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8B744F"/>
    <w:multiLevelType w:val="hybridMultilevel"/>
    <w:tmpl w:val="AFFA83A8"/>
    <w:lvl w:ilvl="0" w:tplc="5158FB1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0EBC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E1B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EDDB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65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1F3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5FB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0AB6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B15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013DB5"/>
    <w:multiLevelType w:val="hybridMultilevel"/>
    <w:tmpl w:val="23B6770E"/>
    <w:lvl w:ilvl="0" w:tplc="F01022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6F5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8B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03E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4B7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27C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7E09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18BE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86F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AE524A"/>
    <w:multiLevelType w:val="hybridMultilevel"/>
    <w:tmpl w:val="5316C9FC"/>
    <w:lvl w:ilvl="0" w:tplc="56FEC2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E64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E77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2E1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14DB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CFC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67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5E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029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2624F1"/>
    <w:multiLevelType w:val="hybridMultilevel"/>
    <w:tmpl w:val="BB4A8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234483"/>
    <w:rsid w:val="00293718"/>
    <w:rsid w:val="00340BE9"/>
    <w:rsid w:val="003639C5"/>
    <w:rsid w:val="004325E1"/>
    <w:rsid w:val="004C412A"/>
    <w:rsid w:val="00597E0B"/>
    <w:rsid w:val="005F09E3"/>
    <w:rsid w:val="006E62EB"/>
    <w:rsid w:val="007117E1"/>
    <w:rsid w:val="00B6025A"/>
    <w:rsid w:val="00B61AD5"/>
    <w:rsid w:val="00C9620D"/>
    <w:rsid w:val="00CA7B63"/>
    <w:rsid w:val="00ED5548"/>
    <w:rsid w:val="00F46965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340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801">
          <w:marLeft w:val="158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604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98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7">
          <w:marLeft w:val="158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54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514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3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39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88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67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34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635">
          <w:marLeft w:val="158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2017-08-28T09:54:00Z</cp:lastPrinted>
  <dcterms:created xsi:type="dcterms:W3CDTF">2017-09-12T08:02:00Z</dcterms:created>
  <dcterms:modified xsi:type="dcterms:W3CDTF">2017-09-12T08:02:00Z</dcterms:modified>
</cp:coreProperties>
</file>