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Ind w:w="-561" w:type="dxa"/>
        <w:tblLook w:val="04A0" w:firstRow="1" w:lastRow="0" w:firstColumn="1" w:lastColumn="0" w:noHBand="0" w:noVBand="1"/>
      </w:tblPr>
      <w:tblGrid>
        <w:gridCol w:w="527"/>
        <w:gridCol w:w="409"/>
        <w:gridCol w:w="8514"/>
        <w:gridCol w:w="1142"/>
        <w:gridCol w:w="289"/>
      </w:tblGrid>
      <w:tr w:rsidR="00DC6396" w:rsidRPr="004A2E44" w:rsidTr="008A030E">
        <w:trPr>
          <w:gridBefore w:val="2"/>
          <w:wBefore w:w="936" w:type="dxa"/>
          <w:trHeight w:val="2814"/>
        </w:trPr>
        <w:tc>
          <w:tcPr>
            <w:tcW w:w="9945" w:type="dxa"/>
            <w:gridSpan w:val="3"/>
          </w:tcPr>
          <w:p w:rsidR="00DC6396" w:rsidRDefault="00DC6396" w:rsidP="008A030E">
            <w:pPr>
              <w:spacing w:line="360" w:lineRule="auto"/>
              <w:rPr>
                <w:rFonts w:ascii="Times New Roman" w:hAnsi="Times New Roman"/>
                <w:sz w:val="24"/>
                <w:szCs w:val="24"/>
                <w:lang w:val="en-US"/>
              </w:rPr>
            </w:pPr>
            <w:r>
              <w:rPr>
                <w:rFonts w:ascii="Times New Roman" w:hAnsi="Times New Roman" w:cs="Times New Roman"/>
                <w:noProof/>
                <w:sz w:val="24"/>
                <w:szCs w:val="24"/>
                <w:lang w:eastAsia="el-GR"/>
              </w:rPr>
              <w:drawing>
                <wp:anchor distT="0" distB="0" distL="114935" distR="114935" simplePos="0" relativeHeight="251659264" behindDoc="0" locked="0" layoutInCell="1" allowOverlap="1" wp14:anchorId="3FB63077" wp14:editId="4B6E297C">
                  <wp:simplePos x="0" y="0"/>
                  <wp:positionH relativeFrom="column">
                    <wp:posOffset>-635</wp:posOffset>
                  </wp:positionH>
                  <wp:positionV relativeFrom="paragraph">
                    <wp:posOffset>0</wp:posOffset>
                  </wp:positionV>
                  <wp:extent cx="571500" cy="552450"/>
                  <wp:effectExtent l="1905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571500" cy="552450"/>
                          </a:xfrm>
                          <a:prstGeom prst="rect">
                            <a:avLst/>
                          </a:prstGeom>
                          <a:solidFill>
                            <a:srgbClr val="FFFFFF"/>
                          </a:solidFill>
                        </pic:spPr>
                      </pic:pic>
                    </a:graphicData>
                  </a:graphic>
                </wp:anchor>
              </w:drawing>
            </w:r>
          </w:p>
          <w:p w:rsidR="00DC6396" w:rsidRDefault="00DC6396" w:rsidP="008A030E">
            <w:pPr>
              <w:rPr>
                <w:rFonts w:ascii="Times New Roman" w:hAnsi="Times New Roman"/>
                <w:sz w:val="24"/>
                <w:szCs w:val="24"/>
                <w:lang w:val="en-US"/>
              </w:rPr>
            </w:pPr>
          </w:p>
          <w:p w:rsidR="00DC6396" w:rsidRPr="008C23EC" w:rsidRDefault="00DC6396" w:rsidP="008A030E">
            <w:pPr>
              <w:spacing w:line="240" w:lineRule="auto"/>
              <w:ind w:left="34" w:hanging="34"/>
              <w:rPr>
                <w:rFonts w:ascii="Times New Roman" w:hAnsi="Times New Roman"/>
                <w:b/>
                <w:bCs/>
                <w:sz w:val="24"/>
                <w:szCs w:val="24"/>
              </w:rPr>
            </w:pPr>
            <w:r>
              <w:rPr>
                <w:rFonts w:ascii="Times New Roman" w:hAnsi="Times New Roman"/>
                <w:b/>
                <w:bCs/>
                <w:sz w:val="24"/>
                <w:szCs w:val="24"/>
              </w:rPr>
              <w:t xml:space="preserve">ΕΛΛΗΝΙΚΗ ΔΗΜΟΚΡΑΤΙΑ                                               </w:t>
            </w:r>
          </w:p>
          <w:p w:rsidR="00DC6396" w:rsidRPr="00712ECD" w:rsidRDefault="00DC6396" w:rsidP="008A030E">
            <w:pPr>
              <w:spacing w:after="100" w:afterAutospacing="1" w:line="240" w:lineRule="auto"/>
              <w:ind w:left="34" w:hanging="34"/>
              <w:rPr>
                <w:rFonts w:ascii="Times New Roman" w:hAnsi="Times New Roman"/>
                <w:b/>
                <w:bCs/>
                <w:sz w:val="24"/>
                <w:szCs w:val="24"/>
              </w:rPr>
            </w:pPr>
            <w:r>
              <w:rPr>
                <w:rFonts w:ascii="Times New Roman" w:hAnsi="Times New Roman"/>
                <w:b/>
                <w:bCs/>
                <w:sz w:val="24"/>
                <w:szCs w:val="24"/>
              </w:rPr>
              <w:t xml:space="preserve">ΥΠΟΥΡΓΕΙΟ ΠΟΛΙΤΙΣΜΟΥ &amp; ΑΘΛΗΤΙΣΜΟΥ </w:t>
            </w:r>
            <w:r w:rsidRPr="00712ECD">
              <w:rPr>
                <w:rFonts w:ascii="Times New Roman" w:hAnsi="Times New Roman"/>
                <w:b/>
                <w:bCs/>
                <w:sz w:val="24"/>
                <w:szCs w:val="24"/>
              </w:rPr>
              <w:t xml:space="preserve">                         </w:t>
            </w:r>
            <w:r>
              <w:rPr>
                <w:rFonts w:ascii="Times New Roman" w:hAnsi="Times New Roman"/>
                <w:b/>
                <w:bCs/>
                <w:sz w:val="24"/>
                <w:szCs w:val="24"/>
              </w:rPr>
              <w:t>Μαρούσι, 24/11/2021</w:t>
            </w:r>
          </w:p>
          <w:p w:rsidR="00DC6396" w:rsidRDefault="00DC6396" w:rsidP="008A030E">
            <w:pPr>
              <w:spacing w:after="100" w:afterAutospacing="1" w:line="240" w:lineRule="auto"/>
              <w:ind w:left="34" w:firstLine="5"/>
              <w:rPr>
                <w:rFonts w:ascii="Times New Roman" w:hAnsi="Times New Roman"/>
                <w:b/>
                <w:sz w:val="24"/>
                <w:szCs w:val="24"/>
              </w:rPr>
            </w:pPr>
            <w:r>
              <w:rPr>
                <w:rFonts w:ascii="Times New Roman" w:hAnsi="Times New Roman"/>
                <w:b/>
                <w:bCs/>
                <w:sz w:val="24"/>
                <w:szCs w:val="24"/>
              </w:rPr>
              <w:t>ΓΕΝΙΚΗ ΓΡΑΜΜΑΤΕΙΑ ΑΘΛΗΤΙΣΜΟΥ</w:t>
            </w:r>
            <w:r w:rsidRPr="00712ECD">
              <w:rPr>
                <w:rFonts w:ascii="Times New Roman" w:hAnsi="Times New Roman"/>
                <w:b/>
                <w:bCs/>
                <w:sz w:val="24"/>
                <w:szCs w:val="24"/>
              </w:rPr>
              <w:t xml:space="preserve">                                                                              </w:t>
            </w:r>
            <w:r>
              <w:rPr>
                <w:rFonts w:ascii="Times New Roman" w:hAnsi="Times New Roman"/>
                <w:b/>
                <w:bCs/>
                <w:sz w:val="24"/>
                <w:szCs w:val="24"/>
              </w:rPr>
              <w:t xml:space="preserve"> ΓΕΝΙΚΗ ΔΙΕΥΘΥΝΣΗ </w:t>
            </w:r>
            <w:r>
              <w:rPr>
                <w:rFonts w:ascii="Times New Roman" w:hAnsi="Times New Roman"/>
                <w:b/>
                <w:sz w:val="24"/>
                <w:szCs w:val="24"/>
              </w:rPr>
              <w:t xml:space="preserve">ΟΡΓΑΝΩΣΗΣ  </w:t>
            </w:r>
            <w:r>
              <w:rPr>
                <w:rFonts w:ascii="Times New Roman" w:hAnsi="Times New Roman"/>
                <w:b/>
                <w:bCs/>
                <w:sz w:val="24"/>
                <w:szCs w:val="24"/>
              </w:rPr>
              <w:t>ΑΘΛΗΤΙΣΜΟΥ</w:t>
            </w:r>
            <w:r>
              <w:rPr>
                <w:rFonts w:ascii="Times New Roman" w:hAnsi="Times New Roman"/>
                <w:b/>
                <w:sz w:val="24"/>
                <w:szCs w:val="24"/>
              </w:rPr>
              <w:t xml:space="preserve">                                             ΔΙΕΥΘΥΝΣΗ ΑΘΛΗΣΗΣ ΓΙΑ ΟΛΟΥΣ, ΠΡΟΒΟΛΗΣ,                                                         ΑΝΑΠΤΥΞΗΣ ΑΘΛΗΤΙΣΜΟΥ, ΕΠΙΣΤΗΜΟΝΙΚΗΣ                                        ΥΠΟΣΤΗΡΙΞΗΣΗΣ ΚΑΙ ΔΙΕΘΝΩΝ ΣΧΕΣΕΩΝ</w:t>
            </w:r>
          </w:p>
          <w:p w:rsidR="00DC6396" w:rsidRDefault="00DC6396" w:rsidP="008A030E">
            <w:pPr>
              <w:spacing w:after="100" w:afterAutospacing="1" w:line="240" w:lineRule="auto"/>
              <w:ind w:left="34" w:hanging="34"/>
              <w:rPr>
                <w:rFonts w:ascii="Times New Roman" w:hAnsi="Times New Roman"/>
                <w:b/>
                <w:sz w:val="24"/>
                <w:szCs w:val="24"/>
              </w:rPr>
            </w:pPr>
            <w:r>
              <w:rPr>
                <w:rFonts w:ascii="Times New Roman" w:hAnsi="Times New Roman"/>
                <w:b/>
                <w:sz w:val="24"/>
                <w:szCs w:val="24"/>
              </w:rPr>
              <w:t>ΤΜΗΜΑ ΣΤΑΤΙΣΤΙΚΗΣ ΤΕΚΜΗΡΙΩΣΗΣ ΑΘΛΗΤΙΣΜΟΥ                                                              &amp; ΣΤΟΧΟΘΕΣΙΑΣ</w:t>
            </w:r>
          </w:p>
          <w:p w:rsidR="00DC6396" w:rsidRDefault="00DC6396" w:rsidP="00DC6396">
            <w:pPr>
              <w:spacing w:after="100" w:afterAutospacing="1" w:line="360" w:lineRule="auto"/>
              <w:ind w:left="51" w:hanging="425"/>
              <w:jc w:val="both"/>
              <w:rPr>
                <w:rFonts w:ascii="Times New Roman" w:hAnsi="Times New Roman"/>
                <w:b/>
                <w:bCs/>
                <w:sz w:val="24"/>
                <w:szCs w:val="24"/>
              </w:rPr>
            </w:pPr>
            <w:r>
              <w:rPr>
                <w:rFonts w:ascii="Times New Roman" w:hAnsi="Times New Roman"/>
                <w:b/>
                <w:bCs/>
                <w:sz w:val="24"/>
                <w:szCs w:val="24"/>
              </w:rPr>
              <w:tab/>
            </w:r>
          </w:p>
          <w:p w:rsidR="00DC6396" w:rsidRDefault="00DC6396" w:rsidP="00DC6396">
            <w:pPr>
              <w:spacing w:after="100" w:afterAutospacing="1" w:line="360" w:lineRule="auto"/>
              <w:ind w:left="51" w:hanging="51"/>
              <w:jc w:val="both"/>
              <w:rPr>
                <w:rFonts w:ascii="Times New Roman" w:hAnsi="Times New Roman"/>
                <w:b/>
                <w:bCs/>
                <w:sz w:val="24"/>
                <w:szCs w:val="24"/>
              </w:rPr>
            </w:pPr>
            <w:r>
              <w:rPr>
                <w:rFonts w:ascii="Times New Roman" w:hAnsi="Times New Roman"/>
                <w:b/>
                <w:bCs/>
                <w:sz w:val="24"/>
                <w:szCs w:val="24"/>
              </w:rPr>
              <w:t xml:space="preserve"> </w:t>
            </w:r>
            <w:r w:rsidRPr="00DC6396">
              <w:rPr>
                <w:rFonts w:ascii="Times New Roman" w:hAnsi="Times New Roman"/>
                <w:b/>
                <w:bCs/>
                <w:sz w:val="24"/>
                <w:szCs w:val="24"/>
                <w:u w:val="single"/>
              </w:rPr>
              <w:t>ΘΕΜΑ:</w:t>
            </w:r>
            <w:r>
              <w:rPr>
                <w:rFonts w:ascii="Times New Roman" w:hAnsi="Times New Roman"/>
                <w:b/>
                <w:bCs/>
                <w:sz w:val="24"/>
                <w:szCs w:val="24"/>
              </w:rPr>
              <w:t xml:space="preserve">  </w:t>
            </w:r>
            <w:r w:rsidRPr="00DC6396">
              <w:rPr>
                <w:rFonts w:ascii="Times New Roman" w:hAnsi="Times New Roman"/>
                <w:b/>
                <w:bCs/>
                <w:sz w:val="24"/>
                <w:szCs w:val="24"/>
              </w:rPr>
              <w:t xml:space="preserve">ΣΤΑΤΙΣΤΙΚΗ ΑΝΑΛΥΣΗ ΓΙΑ ΤΟ ΠΛΗΘΟΣ </w:t>
            </w:r>
            <w:r w:rsidRPr="00DC6396">
              <w:rPr>
                <w:rFonts w:ascii="Times New Roman" w:hAnsi="Times New Roman" w:cs="Times New Roman"/>
                <w:b/>
                <w:sz w:val="24"/>
                <w:szCs w:val="24"/>
              </w:rPr>
              <w:t>ΠΡΟΠΟΝΗΤΩΝ (ΔΗΛΩΜΕΝ</w:t>
            </w:r>
            <w:r w:rsidR="002067A0">
              <w:rPr>
                <w:rFonts w:ascii="Times New Roman" w:hAnsi="Times New Roman" w:cs="Times New Roman"/>
                <w:b/>
                <w:sz w:val="24"/>
                <w:szCs w:val="24"/>
              </w:rPr>
              <w:t>ΩΝ) ΚΑΙ ΑΘΛΗΤΙΚΩΝ ΣΩΜΑΤΕΙΩΝ</w:t>
            </w:r>
            <w:bookmarkStart w:id="0" w:name="_GoBack"/>
            <w:bookmarkEnd w:id="0"/>
            <w:r w:rsidRPr="00DC6396">
              <w:rPr>
                <w:rFonts w:ascii="Times New Roman" w:hAnsi="Times New Roman" w:cs="Times New Roman"/>
                <w:b/>
                <w:sz w:val="24"/>
                <w:szCs w:val="24"/>
              </w:rPr>
              <w:t xml:space="preserve"> ΜΕ ΒΑΣΗ ΤΟ ΠΛΗΘΟΣ  ΑΘΛΗΜΑΤΩΝ ΠΟΥ ΚΑΛΛΙΕΡΓΟΥΝ ΣΤΗΝ ΕΛΛΗΝΙΚΗ ΕΠΙΚΡΑΤΕΙΑ.</w:t>
            </w:r>
          </w:p>
          <w:p w:rsidR="00DC6396" w:rsidRDefault="00DC6396" w:rsidP="008A030E">
            <w:pPr>
              <w:spacing w:after="100" w:afterAutospacing="1" w:line="360" w:lineRule="auto"/>
              <w:ind w:left="34" w:hanging="34"/>
              <w:rPr>
                <w:rFonts w:ascii="Times New Roman" w:hAnsi="Times New Roman"/>
                <w:b/>
                <w:bCs/>
                <w:sz w:val="24"/>
                <w:szCs w:val="24"/>
              </w:rPr>
            </w:pPr>
            <w:r>
              <w:rPr>
                <w:rFonts w:ascii="Times New Roman" w:hAnsi="Times New Roman"/>
                <w:b/>
                <w:bCs/>
                <w:sz w:val="24"/>
                <w:szCs w:val="24"/>
              </w:rPr>
              <w:t xml:space="preserve">                                                                                  </w:t>
            </w:r>
          </w:p>
          <w:p w:rsidR="00DC6396" w:rsidRPr="004A2E44" w:rsidRDefault="00DC6396" w:rsidP="00DC6396">
            <w:pPr>
              <w:autoSpaceDE w:val="0"/>
              <w:autoSpaceDN w:val="0"/>
              <w:adjustRightInd w:val="0"/>
              <w:jc w:val="center"/>
              <w:rPr>
                <w:rFonts w:ascii="Times New Roman" w:hAnsi="Times New Roman"/>
                <w:sz w:val="24"/>
                <w:szCs w:val="24"/>
              </w:rPr>
            </w:pPr>
          </w:p>
        </w:tc>
      </w:tr>
      <w:tr w:rsidR="00DC6396" w:rsidTr="008A030E">
        <w:trPr>
          <w:gridAfter w:val="2"/>
          <w:wAfter w:w="1431" w:type="dxa"/>
          <w:trHeight w:val="32"/>
        </w:trPr>
        <w:tc>
          <w:tcPr>
            <w:tcW w:w="9450" w:type="dxa"/>
            <w:gridSpan w:val="3"/>
          </w:tcPr>
          <w:p w:rsidR="00DC6396" w:rsidRDefault="00DC6396" w:rsidP="008A030E">
            <w:pPr>
              <w:autoSpaceDE w:val="0"/>
              <w:autoSpaceDN w:val="0"/>
              <w:adjustRightInd w:val="0"/>
              <w:jc w:val="center"/>
              <w:rPr>
                <w:rFonts w:ascii="Times New Roman" w:hAnsi="Times New Roman"/>
                <w:b/>
                <w:bCs/>
                <w:sz w:val="24"/>
                <w:szCs w:val="24"/>
              </w:rPr>
            </w:pPr>
          </w:p>
        </w:tc>
      </w:tr>
      <w:tr w:rsidR="00DC6396" w:rsidTr="008A030E">
        <w:trPr>
          <w:gridBefore w:val="2"/>
          <w:wBefore w:w="936" w:type="dxa"/>
          <w:trHeight w:val="32"/>
        </w:trPr>
        <w:tc>
          <w:tcPr>
            <w:tcW w:w="9945" w:type="dxa"/>
            <w:gridSpan w:val="3"/>
          </w:tcPr>
          <w:p w:rsidR="00DC6396" w:rsidRDefault="00DC6396" w:rsidP="008A030E">
            <w:pPr>
              <w:autoSpaceDE w:val="0"/>
              <w:autoSpaceDN w:val="0"/>
              <w:adjustRightInd w:val="0"/>
              <w:jc w:val="center"/>
              <w:rPr>
                <w:rFonts w:ascii="Times New Roman" w:hAnsi="Times New Roman"/>
                <w:b/>
                <w:bCs/>
                <w:sz w:val="24"/>
                <w:szCs w:val="24"/>
              </w:rPr>
            </w:pPr>
          </w:p>
        </w:tc>
      </w:tr>
      <w:tr w:rsidR="00DC6396" w:rsidTr="008A030E">
        <w:trPr>
          <w:gridBefore w:val="1"/>
          <w:gridAfter w:val="1"/>
          <w:wBefore w:w="527" w:type="dxa"/>
          <w:wAfter w:w="289" w:type="dxa"/>
          <w:trHeight w:val="32"/>
        </w:trPr>
        <w:tc>
          <w:tcPr>
            <w:tcW w:w="10065" w:type="dxa"/>
            <w:gridSpan w:val="3"/>
          </w:tcPr>
          <w:p w:rsidR="00DC6396" w:rsidRDefault="00DC6396" w:rsidP="008A030E">
            <w:pPr>
              <w:spacing w:line="360" w:lineRule="auto"/>
              <w:ind w:left="-108" w:firstLine="108"/>
              <w:jc w:val="both"/>
              <w:rPr>
                <w:rFonts w:ascii="Times New Roman" w:hAnsi="Times New Roman"/>
                <w:b/>
                <w:bCs/>
                <w:sz w:val="24"/>
                <w:szCs w:val="24"/>
              </w:rPr>
            </w:pPr>
            <w:r>
              <w:rPr>
                <w:rFonts w:ascii="Times New Roman" w:hAnsi="Times New Roman"/>
                <w:bCs/>
                <w:sz w:val="24"/>
                <w:szCs w:val="24"/>
              </w:rPr>
              <w:t xml:space="preserve">             Το Τμήμα Στατιστικής Τεκμηρίωσης Αθλητισμού και </w:t>
            </w:r>
            <w:proofErr w:type="spellStart"/>
            <w:r>
              <w:rPr>
                <w:rFonts w:ascii="Times New Roman" w:hAnsi="Times New Roman"/>
                <w:bCs/>
                <w:sz w:val="24"/>
                <w:szCs w:val="24"/>
              </w:rPr>
              <w:t>Στοχοθεσίας</w:t>
            </w:r>
            <w:proofErr w:type="spellEnd"/>
            <w:r>
              <w:rPr>
                <w:rFonts w:ascii="Times New Roman" w:hAnsi="Times New Roman"/>
                <w:bCs/>
                <w:sz w:val="24"/>
                <w:szCs w:val="24"/>
              </w:rPr>
              <w:t xml:space="preserve"> παρουσιάζει μία αρχική στατιστική ανάλυση για το πλήθος </w:t>
            </w:r>
            <w:r>
              <w:rPr>
                <w:rFonts w:ascii="Times New Roman" w:hAnsi="Times New Roman" w:cs="Times New Roman"/>
                <w:sz w:val="24"/>
                <w:szCs w:val="24"/>
              </w:rPr>
              <w:t>προπονητών (δηλωμένων) και αθλητικών σωματείων και  με βάση το πλήθος  αθλημάτων που καλλιεργούν στην ελληνική επικράτεια.</w:t>
            </w:r>
          </w:p>
        </w:tc>
      </w:tr>
    </w:tbl>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Σύμφωνα με τα δεδομένα του Μητρώου Αθλητικών Σωματείων,  που έχουν επεξεργαστεί και ελεγχθεί από την  Διεύθυνση Αγωνιστικού Αθλητισμού και έχουν αποσταλεί στο τμήμα ύστερα από σχετική ηλεκτρονική αλληλογραφία με την αρμόδια Διεύθυνση, δραστηριοποιούνται  4035 ερασιτεχνικά αθλητικά σωματεία στην ελληνική επικράτεια.</w:t>
      </w: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Εκτός από τον αριθμό - πλήθος των αθλητικών σωματείων, το Μητρώο Αθλητικών Σωματείων περιλαμβάνει και άλλες μεταβλητές όπως πλήθος αθλημάτων που καλλιεργεί το κάθε αθλητικό σωματείο, πλήθος δηλωμένων και έγκυρων προπονητών που απασχολεί κάθε αθλητικό σωματείο.</w:t>
      </w:r>
      <w:r w:rsidRPr="003B3B44">
        <w:rPr>
          <w:rFonts w:ascii="Times New Roman" w:hAnsi="Times New Roman" w:cs="Times New Roman"/>
          <w:sz w:val="24"/>
          <w:szCs w:val="24"/>
        </w:rPr>
        <w:t xml:space="preserve"> </w:t>
      </w: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Σύμφωνα με την παράγραφο 5 του άρθρου 31 του αθλητικού νόμου Ν.2725/99,  προπονητή έχουν υποχρέωση να απασχολούν τα αθλητικά σωματεία τα οποία: α) καλλιεργούν ομαδικό άθλημα και συμμετέχουν σε πρωταθλήματα εθνικών κατηγοριών και σε τοπικό πρωτάθλημα πρώτης κατηγορίας, β) καλλιεργούν ατομικό άθλημα και έχουν αθλητές στην δύναμή τους ηλικίας κάτω των δεκαοκτώ (18) ετών.</w:t>
      </w: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μεταβλητή πλήθος αθλημάτων παίρνει διάφορες τιμές, από το 1 (ένα άθλημα) έως 20 (είκοσι αθλήματα).</w:t>
      </w:r>
    </w:p>
    <w:p w:rsidR="00DC6396" w:rsidRPr="00986E8A" w:rsidRDefault="00DC6396" w:rsidP="00DC6396">
      <w:pPr>
        <w:spacing w:line="360" w:lineRule="auto"/>
        <w:jc w:val="both"/>
        <w:rPr>
          <w:rFonts w:ascii="Times New Roman" w:hAnsi="Times New Roman" w:cs="Times New Roman"/>
          <w:b/>
          <w:sz w:val="24"/>
          <w:szCs w:val="24"/>
          <w:u w:val="single"/>
        </w:rPr>
      </w:pPr>
      <w:r w:rsidRPr="00986E8A">
        <w:rPr>
          <w:rFonts w:ascii="Times New Roman" w:hAnsi="Times New Roman" w:cs="Times New Roman"/>
          <w:b/>
          <w:sz w:val="24"/>
          <w:szCs w:val="24"/>
          <w:u w:val="single"/>
        </w:rPr>
        <w:t xml:space="preserve">Πίνακας 1: </w:t>
      </w:r>
      <w:r>
        <w:rPr>
          <w:rFonts w:ascii="Times New Roman" w:hAnsi="Times New Roman" w:cs="Times New Roman"/>
          <w:b/>
          <w:sz w:val="24"/>
          <w:szCs w:val="24"/>
          <w:u w:val="single"/>
        </w:rPr>
        <w:t>Κατανομή του συνολικού αριθμού</w:t>
      </w:r>
      <w:r w:rsidRPr="00986E8A">
        <w:rPr>
          <w:rFonts w:ascii="Times New Roman" w:hAnsi="Times New Roman" w:cs="Times New Roman"/>
          <w:b/>
          <w:sz w:val="24"/>
          <w:szCs w:val="24"/>
          <w:u w:val="single"/>
        </w:rPr>
        <w:t xml:space="preserve"> προπονητών δηλωμένων</w:t>
      </w:r>
      <w:r>
        <w:rPr>
          <w:rFonts w:ascii="Times New Roman" w:hAnsi="Times New Roman" w:cs="Times New Roman"/>
          <w:b/>
          <w:sz w:val="24"/>
          <w:szCs w:val="24"/>
          <w:u w:val="single"/>
        </w:rPr>
        <w:t xml:space="preserve"> από τα σωματεία</w:t>
      </w:r>
      <w:r w:rsidRPr="00986E8A">
        <w:rPr>
          <w:rFonts w:ascii="Times New Roman" w:hAnsi="Times New Roman" w:cs="Times New Roman"/>
          <w:b/>
          <w:sz w:val="24"/>
          <w:szCs w:val="24"/>
          <w:u w:val="single"/>
        </w:rPr>
        <w:t xml:space="preserve"> ανά πλήθος αθλημάτων</w:t>
      </w:r>
      <w:r>
        <w:rPr>
          <w:rFonts w:ascii="Times New Roman" w:hAnsi="Times New Roman" w:cs="Times New Roman"/>
          <w:b/>
          <w:sz w:val="24"/>
          <w:szCs w:val="24"/>
          <w:u w:val="single"/>
        </w:rPr>
        <w:t xml:space="preserve"> που καλλιεργούν </w:t>
      </w:r>
      <w:r w:rsidRPr="00986E8A">
        <w:rPr>
          <w:rFonts w:ascii="Times New Roman" w:hAnsi="Times New Roman" w:cs="Times New Roman"/>
          <w:b/>
          <w:sz w:val="24"/>
          <w:szCs w:val="24"/>
          <w:u w:val="single"/>
        </w:rPr>
        <w:t xml:space="preserve"> </w:t>
      </w:r>
    </w:p>
    <w:p w:rsidR="00DC6396" w:rsidRPr="003B3B44" w:rsidRDefault="00DC6396" w:rsidP="00DC6396">
      <w:pPr>
        <w:autoSpaceDE w:val="0"/>
        <w:autoSpaceDN w:val="0"/>
        <w:adjustRightInd w:val="0"/>
        <w:spacing w:after="0" w:line="240" w:lineRule="auto"/>
        <w:rPr>
          <w:rFonts w:ascii="Times New Roman" w:hAnsi="Times New Roman" w:cs="Times New Roman"/>
          <w:sz w:val="24"/>
          <w:szCs w:val="24"/>
        </w:rPr>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0"/>
        <w:gridCol w:w="2372"/>
      </w:tblGrid>
      <w:tr w:rsidR="00DC6396" w:rsidRPr="00522833" w:rsidTr="008A030E">
        <w:trPr>
          <w:cantSplit/>
          <w:trHeight w:val="650"/>
          <w:jc w:val="center"/>
        </w:trPr>
        <w:tc>
          <w:tcPr>
            <w:tcW w:w="4962" w:type="dxa"/>
            <w:gridSpan w:val="2"/>
            <w:shd w:val="clear" w:color="auto" w:fill="FFFFFF"/>
            <w:vAlign w:val="center"/>
          </w:tcPr>
          <w:p w:rsidR="00DC6396" w:rsidRPr="003B3B44" w:rsidRDefault="00DC6396" w:rsidP="008A030E">
            <w:pPr>
              <w:autoSpaceDE w:val="0"/>
              <w:autoSpaceDN w:val="0"/>
              <w:adjustRightInd w:val="0"/>
              <w:spacing w:after="0" w:line="320" w:lineRule="atLeast"/>
              <w:ind w:left="60" w:right="60"/>
              <w:jc w:val="center"/>
              <w:rPr>
                <w:rFonts w:ascii="Arial" w:hAnsi="Arial" w:cs="Arial"/>
                <w:b/>
                <w:color w:val="010205"/>
                <w:u w:val="single"/>
              </w:rPr>
            </w:pPr>
            <w:r w:rsidRPr="00522833">
              <w:rPr>
                <w:rFonts w:ascii="Arial" w:hAnsi="Arial" w:cs="Arial"/>
                <w:b/>
                <w:color w:val="010205"/>
                <w:u w:val="single"/>
              </w:rPr>
              <w:t>Συνολικός αριθμός προπονητών δηλωμένων  ανά πλήθος αθλημάτων</w:t>
            </w:r>
          </w:p>
        </w:tc>
      </w:tr>
      <w:tr w:rsidR="00DC6396" w:rsidRPr="003B3B44" w:rsidTr="008A030E">
        <w:trPr>
          <w:cantSplit/>
          <w:jc w:val="center"/>
        </w:trPr>
        <w:tc>
          <w:tcPr>
            <w:tcW w:w="2590" w:type="dxa"/>
            <w:shd w:val="clear" w:color="auto" w:fill="FFFFFF"/>
            <w:vAlign w:val="bottom"/>
          </w:tcPr>
          <w:p w:rsidR="00DC6396" w:rsidRPr="003B3B44" w:rsidRDefault="00DC6396" w:rsidP="008A030E">
            <w:pPr>
              <w:autoSpaceDE w:val="0"/>
              <w:autoSpaceDN w:val="0"/>
              <w:adjustRightInd w:val="0"/>
              <w:spacing w:after="0" w:line="320" w:lineRule="atLeast"/>
              <w:ind w:left="60" w:right="60"/>
              <w:jc w:val="center"/>
              <w:rPr>
                <w:rFonts w:ascii="Arial" w:hAnsi="Arial" w:cs="Arial"/>
                <w:b/>
                <w:color w:val="264A60"/>
              </w:rPr>
            </w:pPr>
            <w:r w:rsidRPr="003B3B44">
              <w:rPr>
                <w:rFonts w:ascii="Arial" w:hAnsi="Arial" w:cs="Arial"/>
                <w:b/>
                <w:color w:val="264A60"/>
              </w:rPr>
              <w:t>Πλήθος αθλημάτων</w:t>
            </w:r>
          </w:p>
        </w:tc>
        <w:tc>
          <w:tcPr>
            <w:tcW w:w="2372" w:type="dxa"/>
            <w:shd w:val="clear" w:color="auto" w:fill="FFFFFF"/>
            <w:vAlign w:val="bottom"/>
          </w:tcPr>
          <w:p w:rsidR="00DC6396" w:rsidRPr="003B3B44" w:rsidRDefault="00DC6396" w:rsidP="008A030E">
            <w:pPr>
              <w:autoSpaceDE w:val="0"/>
              <w:autoSpaceDN w:val="0"/>
              <w:adjustRightInd w:val="0"/>
              <w:spacing w:after="0" w:line="320" w:lineRule="atLeast"/>
              <w:ind w:left="60" w:right="60"/>
              <w:jc w:val="center"/>
              <w:rPr>
                <w:rFonts w:ascii="Arial" w:hAnsi="Arial" w:cs="Arial"/>
                <w:b/>
                <w:color w:val="264A60"/>
              </w:rPr>
            </w:pPr>
            <w:r w:rsidRPr="003B3B44">
              <w:rPr>
                <w:rFonts w:ascii="Arial" w:hAnsi="Arial" w:cs="Arial"/>
                <w:b/>
                <w:color w:val="264A60"/>
              </w:rPr>
              <w:t>Συνολικός αριθμός προπονητών</w:t>
            </w:r>
            <w:r w:rsidRPr="00522833">
              <w:rPr>
                <w:rFonts w:ascii="Arial" w:hAnsi="Arial" w:cs="Arial"/>
                <w:b/>
                <w:color w:val="264A60"/>
              </w:rPr>
              <w:t xml:space="preserve"> (δηλωμένων)</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2540</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2</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958</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3</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451</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4</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340</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5</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169</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6</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124</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7</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55</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8</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106</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9</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41</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11</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32</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12</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10</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13</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22</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14</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41</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15</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88</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16</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29</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264A60"/>
              </w:rPr>
            </w:pPr>
            <w:r w:rsidRPr="003B3B44">
              <w:rPr>
                <w:rFonts w:ascii="Arial" w:hAnsi="Arial" w:cs="Arial"/>
                <w:color w:val="264A60"/>
              </w:rPr>
              <w:t>20</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color w:val="010205"/>
              </w:rPr>
            </w:pPr>
            <w:r w:rsidRPr="003B3B44">
              <w:rPr>
                <w:rFonts w:ascii="Arial" w:hAnsi="Arial" w:cs="Arial"/>
                <w:color w:val="010205"/>
              </w:rPr>
              <w:t>16</w:t>
            </w:r>
          </w:p>
        </w:tc>
      </w:tr>
      <w:tr w:rsidR="00DC6396" w:rsidRPr="003B3B44" w:rsidTr="008A030E">
        <w:trPr>
          <w:cantSplit/>
          <w:jc w:val="center"/>
        </w:trPr>
        <w:tc>
          <w:tcPr>
            <w:tcW w:w="2590" w:type="dxa"/>
            <w:shd w:val="clear" w:color="auto" w:fill="E0E0E0"/>
          </w:tcPr>
          <w:p w:rsidR="00DC6396" w:rsidRPr="003B3B44" w:rsidRDefault="00DC6396" w:rsidP="008A030E">
            <w:pPr>
              <w:autoSpaceDE w:val="0"/>
              <w:autoSpaceDN w:val="0"/>
              <w:adjustRightInd w:val="0"/>
              <w:spacing w:after="0" w:line="320" w:lineRule="atLeast"/>
              <w:ind w:left="60" w:right="60"/>
              <w:jc w:val="center"/>
              <w:rPr>
                <w:rFonts w:ascii="Arial" w:hAnsi="Arial" w:cs="Arial"/>
                <w:b/>
                <w:color w:val="264A60"/>
              </w:rPr>
            </w:pPr>
            <w:r w:rsidRPr="003B3B44">
              <w:rPr>
                <w:rFonts w:ascii="Arial" w:hAnsi="Arial" w:cs="Arial"/>
                <w:b/>
                <w:color w:val="264A60"/>
              </w:rPr>
              <w:t>Σύνολο</w:t>
            </w:r>
          </w:p>
        </w:tc>
        <w:tc>
          <w:tcPr>
            <w:tcW w:w="2372" w:type="dxa"/>
            <w:shd w:val="clear" w:color="auto" w:fill="FFFFFF"/>
          </w:tcPr>
          <w:p w:rsidR="00DC6396" w:rsidRPr="003B3B44" w:rsidRDefault="00DC6396" w:rsidP="008A030E">
            <w:pPr>
              <w:autoSpaceDE w:val="0"/>
              <w:autoSpaceDN w:val="0"/>
              <w:adjustRightInd w:val="0"/>
              <w:spacing w:after="0" w:line="320" w:lineRule="atLeast"/>
              <w:ind w:left="60" w:right="60"/>
              <w:jc w:val="center"/>
              <w:rPr>
                <w:rFonts w:ascii="Arial" w:hAnsi="Arial" w:cs="Arial"/>
                <w:b/>
                <w:color w:val="010205"/>
              </w:rPr>
            </w:pPr>
            <w:r w:rsidRPr="003B3B44">
              <w:rPr>
                <w:rFonts w:ascii="Arial" w:hAnsi="Arial" w:cs="Arial"/>
                <w:b/>
                <w:color w:val="010205"/>
              </w:rPr>
              <w:t>5022</w:t>
            </w:r>
          </w:p>
        </w:tc>
      </w:tr>
    </w:tbl>
    <w:p w:rsidR="00DC6396" w:rsidRDefault="00DC6396" w:rsidP="00DC6396">
      <w:pPr>
        <w:autoSpaceDE w:val="0"/>
        <w:autoSpaceDN w:val="0"/>
        <w:adjustRightInd w:val="0"/>
        <w:spacing w:after="0" w:line="240" w:lineRule="auto"/>
        <w:ind w:left="-142" w:firstLine="142"/>
        <w:rPr>
          <w:rFonts w:ascii="Times New Roman" w:hAnsi="Times New Roman" w:cs="Times New Roman"/>
          <w:sz w:val="24"/>
          <w:szCs w:val="24"/>
        </w:rPr>
      </w:pPr>
    </w:p>
    <w:p w:rsidR="00DC6396" w:rsidRDefault="00DC6396" w:rsidP="00DC6396">
      <w:pPr>
        <w:autoSpaceDE w:val="0"/>
        <w:autoSpaceDN w:val="0"/>
        <w:adjustRightInd w:val="0"/>
        <w:spacing w:after="0" w:line="240" w:lineRule="auto"/>
        <w:ind w:left="284"/>
        <w:rPr>
          <w:rFonts w:ascii="Times New Roman" w:hAnsi="Times New Roman" w:cs="Times New Roman"/>
          <w:b/>
          <w:sz w:val="24"/>
          <w:szCs w:val="24"/>
          <w:u w:val="single"/>
        </w:rPr>
      </w:pPr>
    </w:p>
    <w:p w:rsidR="00DC6396" w:rsidRDefault="00DC6396" w:rsidP="00DC6396">
      <w:pPr>
        <w:autoSpaceDE w:val="0"/>
        <w:autoSpaceDN w:val="0"/>
        <w:adjustRightInd w:val="0"/>
        <w:spacing w:after="0" w:line="240" w:lineRule="auto"/>
        <w:ind w:left="284"/>
        <w:rPr>
          <w:rFonts w:ascii="Times New Roman" w:hAnsi="Times New Roman" w:cs="Times New Roman"/>
          <w:b/>
          <w:sz w:val="24"/>
          <w:szCs w:val="24"/>
          <w:u w:val="single"/>
        </w:rPr>
      </w:pPr>
      <w:r>
        <w:rPr>
          <w:rFonts w:ascii="Times New Roman" w:hAnsi="Times New Roman" w:cs="Times New Roman"/>
          <w:b/>
          <w:sz w:val="24"/>
          <w:szCs w:val="24"/>
          <w:u w:val="single"/>
        </w:rPr>
        <w:t>Διάγραμμα 1:  Σ</w:t>
      </w:r>
      <w:r w:rsidRPr="0085073E">
        <w:rPr>
          <w:rFonts w:ascii="Times New Roman" w:hAnsi="Times New Roman" w:cs="Times New Roman"/>
          <w:b/>
          <w:sz w:val="24"/>
          <w:szCs w:val="24"/>
          <w:u w:val="single"/>
        </w:rPr>
        <w:t>υνολικός αριθμός προπονητών δηλωμένων από τα αθλητικά σωματεία ανά πλήθος αθλημάτων</w:t>
      </w:r>
    </w:p>
    <w:p w:rsidR="00DC6396" w:rsidRPr="0085073E" w:rsidRDefault="00DC6396" w:rsidP="00DC6396">
      <w:pPr>
        <w:autoSpaceDE w:val="0"/>
        <w:autoSpaceDN w:val="0"/>
        <w:adjustRightInd w:val="0"/>
        <w:spacing w:after="0" w:line="240" w:lineRule="auto"/>
        <w:ind w:left="284"/>
        <w:rPr>
          <w:rFonts w:ascii="Times New Roman" w:hAnsi="Times New Roman" w:cs="Times New Roman"/>
          <w:b/>
          <w:sz w:val="24"/>
          <w:szCs w:val="24"/>
          <w:u w:val="single"/>
        </w:rPr>
      </w:pPr>
    </w:p>
    <w:p w:rsidR="00DC6396" w:rsidRDefault="00DC6396" w:rsidP="00DC6396">
      <w:pPr>
        <w:autoSpaceDE w:val="0"/>
        <w:autoSpaceDN w:val="0"/>
        <w:adjustRightInd w:val="0"/>
        <w:spacing w:after="0" w:line="240" w:lineRule="auto"/>
        <w:ind w:left="-142" w:firstLine="142"/>
        <w:rPr>
          <w:rFonts w:ascii="Times New Roman" w:hAnsi="Times New Roman" w:cs="Times New Roman"/>
          <w:sz w:val="24"/>
          <w:szCs w:val="24"/>
        </w:rPr>
      </w:pPr>
      <w:r w:rsidRPr="00766F31">
        <w:rPr>
          <w:rFonts w:ascii="Times New Roman" w:hAnsi="Times New Roman" w:cs="Times New Roman"/>
          <w:noProof/>
          <w:sz w:val="28"/>
          <w:szCs w:val="28"/>
          <w:lang w:eastAsia="el-GR"/>
        </w:rPr>
        <w:lastRenderedPageBreak/>
        <w:drawing>
          <wp:inline distT="0" distB="0" distL="0" distR="0" wp14:anchorId="5C3A553C" wp14:editId="44E4BACF">
            <wp:extent cx="6638925" cy="3886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3886200"/>
                    </a:xfrm>
                    <a:prstGeom prst="rect">
                      <a:avLst/>
                    </a:prstGeom>
                    <a:noFill/>
                    <a:ln>
                      <a:noFill/>
                    </a:ln>
                  </pic:spPr>
                </pic:pic>
              </a:graphicData>
            </a:graphic>
          </wp:inline>
        </w:drawing>
      </w:r>
    </w:p>
    <w:p w:rsidR="00DC6396" w:rsidRDefault="00DC6396" w:rsidP="00DC6396">
      <w:pPr>
        <w:autoSpaceDE w:val="0"/>
        <w:autoSpaceDN w:val="0"/>
        <w:adjustRightInd w:val="0"/>
        <w:spacing w:after="0" w:line="400" w:lineRule="atLeast"/>
        <w:jc w:val="both"/>
        <w:rPr>
          <w:rFonts w:ascii="Times New Roman" w:hAnsi="Times New Roman" w:cs="Times New Roman"/>
          <w:sz w:val="24"/>
          <w:szCs w:val="24"/>
        </w:rPr>
      </w:pPr>
    </w:p>
    <w:p w:rsidR="00DC6396" w:rsidRDefault="00DC6396" w:rsidP="00DC6396">
      <w:pPr>
        <w:autoSpaceDE w:val="0"/>
        <w:autoSpaceDN w:val="0"/>
        <w:adjustRightInd w:val="0"/>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Από τον πίνακα 1 και το διάγραμμα 1 παρατηρούμε ότι ο συνολικό αριθμός προπονητών δηλωμένων από τα αθλητικά σωματεία ανέρχεται σε 5.022 άτομα, από τα οποία,  το 50% δηλαδή 2.540 προπονητές δηλώνονται από σωματεία που καλλιεργούν ένα άθλημα. Στη συνέχεια, 958  (19%) προπονητές απασχολούνται σε σωματεία από καλλιεργούν δύο αθλήματα, 451 (9%) προπονητές απασχολούνται σε σωματεία που καλλιεργούν τρία αθλήματα  και ακολουθούν οι υπόλοιπες κατηγορίες πλήθους αθλημάτων με τον αντίστοιχο συνολικό αριθμό προπονητών. Το 78%  των προπονητών, δηλαδή 3.949 προπονητές αθροιστικά  απασχολούνται σε αθλητικά σωματεία που καλλιεργούν μέχρι τρία αθλήματα.</w:t>
      </w:r>
    </w:p>
    <w:p w:rsidR="00DC6396" w:rsidRDefault="00DC6396" w:rsidP="00DC6396">
      <w:pPr>
        <w:autoSpaceDE w:val="0"/>
        <w:autoSpaceDN w:val="0"/>
        <w:adjustRightInd w:val="0"/>
        <w:spacing w:after="0" w:line="400" w:lineRule="atLeast"/>
        <w:jc w:val="both"/>
        <w:rPr>
          <w:rFonts w:ascii="Times New Roman" w:hAnsi="Times New Roman" w:cs="Times New Roman"/>
          <w:sz w:val="24"/>
          <w:szCs w:val="24"/>
        </w:rPr>
      </w:pPr>
    </w:p>
    <w:p w:rsidR="00DC6396" w:rsidRDefault="00DC6396" w:rsidP="00DC639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ab/>
      </w:r>
    </w:p>
    <w:p w:rsidR="00DC6396" w:rsidRDefault="00DC6396" w:rsidP="00DC6396">
      <w:pPr>
        <w:autoSpaceDE w:val="0"/>
        <w:autoSpaceDN w:val="0"/>
        <w:adjustRightInd w:val="0"/>
        <w:spacing w:after="0" w:line="400" w:lineRule="atLeast"/>
        <w:jc w:val="both"/>
        <w:rPr>
          <w:rFonts w:ascii="Times New Roman" w:hAnsi="Times New Roman" w:cs="Times New Roman"/>
          <w:sz w:val="24"/>
          <w:szCs w:val="24"/>
        </w:rPr>
      </w:pPr>
    </w:p>
    <w:p w:rsidR="00DC6396" w:rsidRDefault="00DC6396" w:rsidP="00DC6396">
      <w:pPr>
        <w:autoSpaceDE w:val="0"/>
        <w:autoSpaceDN w:val="0"/>
        <w:adjustRightInd w:val="0"/>
        <w:spacing w:after="0" w:line="400" w:lineRule="atLeast"/>
        <w:ind w:firstLine="720"/>
        <w:jc w:val="both"/>
        <w:rPr>
          <w:rFonts w:ascii="Times New Roman" w:hAnsi="Times New Roman" w:cs="Times New Roman"/>
          <w:b/>
          <w:sz w:val="24"/>
          <w:szCs w:val="24"/>
          <w:u w:val="single"/>
        </w:rPr>
      </w:pPr>
    </w:p>
    <w:p w:rsidR="00DC6396" w:rsidRDefault="00DC6396" w:rsidP="00DC6396">
      <w:pPr>
        <w:autoSpaceDE w:val="0"/>
        <w:autoSpaceDN w:val="0"/>
        <w:adjustRightInd w:val="0"/>
        <w:spacing w:after="0" w:line="400" w:lineRule="atLeast"/>
        <w:ind w:firstLine="720"/>
        <w:jc w:val="both"/>
        <w:rPr>
          <w:rFonts w:ascii="Times New Roman" w:hAnsi="Times New Roman" w:cs="Times New Roman"/>
          <w:b/>
          <w:sz w:val="24"/>
          <w:szCs w:val="24"/>
          <w:u w:val="single"/>
        </w:rPr>
      </w:pPr>
    </w:p>
    <w:p w:rsidR="00DC6396" w:rsidRDefault="00DC6396" w:rsidP="00DC6396">
      <w:pPr>
        <w:autoSpaceDE w:val="0"/>
        <w:autoSpaceDN w:val="0"/>
        <w:adjustRightInd w:val="0"/>
        <w:spacing w:after="0" w:line="400" w:lineRule="atLeast"/>
        <w:ind w:firstLine="720"/>
        <w:jc w:val="both"/>
        <w:rPr>
          <w:rFonts w:ascii="Times New Roman" w:hAnsi="Times New Roman" w:cs="Times New Roman"/>
          <w:b/>
          <w:sz w:val="24"/>
          <w:szCs w:val="24"/>
          <w:u w:val="single"/>
        </w:rPr>
      </w:pPr>
    </w:p>
    <w:p w:rsidR="00DC6396" w:rsidRDefault="00DC6396" w:rsidP="00DC6396">
      <w:pPr>
        <w:autoSpaceDE w:val="0"/>
        <w:autoSpaceDN w:val="0"/>
        <w:adjustRightInd w:val="0"/>
        <w:spacing w:after="0" w:line="400" w:lineRule="atLeast"/>
        <w:ind w:firstLine="720"/>
        <w:jc w:val="both"/>
        <w:rPr>
          <w:rFonts w:ascii="Times New Roman" w:hAnsi="Times New Roman" w:cs="Times New Roman"/>
          <w:b/>
          <w:sz w:val="24"/>
          <w:szCs w:val="24"/>
          <w:u w:val="single"/>
        </w:rPr>
      </w:pPr>
    </w:p>
    <w:p w:rsidR="00DC6396" w:rsidRPr="00522833" w:rsidRDefault="00DC6396" w:rsidP="00DC6396">
      <w:pPr>
        <w:autoSpaceDE w:val="0"/>
        <w:autoSpaceDN w:val="0"/>
        <w:adjustRightInd w:val="0"/>
        <w:spacing w:after="0" w:line="400" w:lineRule="atLeast"/>
        <w:ind w:firstLine="720"/>
        <w:jc w:val="both"/>
        <w:rPr>
          <w:rFonts w:ascii="Times New Roman" w:hAnsi="Times New Roman" w:cs="Times New Roman"/>
          <w:b/>
          <w:sz w:val="24"/>
          <w:szCs w:val="24"/>
          <w:u w:val="single"/>
        </w:rPr>
      </w:pPr>
      <w:r w:rsidRPr="00522833">
        <w:rPr>
          <w:rFonts w:ascii="Times New Roman" w:hAnsi="Times New Roman" w:cs="Times New Roman"/>
          <w:b/>
          <w:sz w:val="24"/>
          <w:szCs w:val="24"/>
          <w:u w:val="single"/>
        </w:rPr>
        <w:t>Πίνακας 2: Κατανομή του συνόλου των αθλητικών σωματείων σε απόλυτη και σχετική συχνότητα ανά πλήθος αθλημάτων που καλλιεργούν</w:t>
      </w:r>
    </w:p>
    <w:p w:rsidR="00DC6396" w:rsidRDefault="00DC6396" w:rsidP="00DC6396">
      <w:pPr>
        <w:autoSpaceDE w:val="0"/>
        <w:autoSpaceDN w:val="0"/>
        <w:adjustRightInd w:val="0"/>
        <w:spacing w:after="0" w:line="400" w:lineRule="atLeast"/>
        <w:ind w:firstLine="720"/>
        <w:jc w:val="both"/>
        <w:rPr>
          <w:rFonts w:ascii="Times New Roman" w:hAnsi="Times New Roman" w:cs="Times New Roman"/>
          <w:sz w:val="24"/>
          <w:szCs w:val="24"/>
        </w:rPr>
      </w:pPr>
    </w:p>
    <w:p w:rsidR="00DC6396" w:rsidRPr="00246CE9" w:rsidRDefault="00DC6396" w:rsidP="00DC6396">
      <w:pPr>
        <w:autoSpaceDE w:val="0"/>
        <w:autoSpaceDN w:val="0"/>
        <w:adjustRightInd w:val="0"/>
        <w:spacing w:after="0" w:line="240" w:lineRule="auto"/>
        <w:rPr>
          <w:rFonts w:ascii="Times New Roman" w:hAnsi="Times New Roman" w:cs="Times New Roman"/>
          <w:sz w:val="24"/>
          <w:szCs w:val="24"/>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7"/>
        <w:gridCol w:w="987"/>
        <w:gridCol w:w="1276"/>
        <w:gridCol w:w="1281"/>
        <w:gridCol w:w="1559"/>
      </w:tblGrid>
      <w:tr w:rsidR="00DC6396" w:rsidRPr="00246CE9" w:rsidTr="008A030E">
        <w:trPr>
          <w:cantSplit/>
          <w:jc w:val="center"/>
        </w:trPr>
        <w:tc>
          <w:tcPr>
            <w:tcW w:w="2694" w:type="dxa"/>
            <w:gridSpan w:val="2"/>
            <w:shd w:val="clear" w:color="auto" w:fill="FFFFFF"/>
            <w:vAlign w:val="bottom"/>
          </w:tcPr>
          <w:p w:rsidR="00DC6396" w:rsidRPr="00246CE9" w:rsidRDefault="00DC6396" w:rsidP="008A030E">
            <w:pPr>
              <w:autoSpaceDE w:val="0"/>
              <w:autoSpaceDN w:val="0"/>
              <w:adjustRightInd w:val="0"/>
              <w:spacing w:after="0" w:line="240" w:lineRule="auto"/>
              <w:rPr>
                <w:rFonts w:ascii="Times New Roman" w:hAnsi="Times New Roman" w:cs="Times New Roman"/>
              </w:rPr>
            </w:pPr>
          </w:p>
        </w:tc>
        <w:tc>
          <w:tcPr>
            <w:tcW w:w="4116" w:type="dxa"/>
            <w:gridSpan w:val="3"/>
            <w:shd w:val="clear" w:color="auto" w:fill="FFFFFF"/>
            <w:vAlign w:val="bottom"/>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264A60"/>
              </w:rPr>
            </w:pPr>
            <w:r>
              <w:rPr>
                <w:rFonts w:ascii="Arial" w:hAnsi="Arial" w:cs="Arial"/>
                <w:b/>
                <w:color w:val="264A60"/>
              </w:rPr>
              <w:t xml:space="preserve">Αθλητικά σωματεία </w:t>
            </w:r>
          </w:p>
        </w:tc>
      </w:tr>
      <w:tr w:rsidR="00DC6396" w:rsidRPr="00246CE9" w:rsidTr="008A030E">
        <w:trPr>
          <w:cantSplit/>
          <w:jc w:val="center"/>
        </w:trPr>
        <w:tc>
          <w:tcPr>
            <w:tcW w:w="2694" w:type="dxa"/>
            <w:gridSpan w:val="2"/>
            <w:shd w:val="clear" w:color="auto" w:fill="FFFFFF"/>
            <w:vAlign w:val="bottom"/>
          </w:tcPr>
          <w:p w:rsidR="00DC6396" w:rsidRPr="00246CE9" w:rsidRDefault="00DC6396" w:rsidP="008A030E">
            <w:pPr>
              <w:autoSpaceDE w:val="0"/>
              <w:autoSpaceDN w:val="0"/>
              <w:adjustRightInd w:val="0"/>
              <w:spacing w:after="0" w:line="240" w:lineRule="auto"/>
              <w:rPr>
                <w:rFonts w:ascii="Times New Roman" w:hAnsi="Times New Roman" w:cs="Times New Roman"/>
              </w:rPr>
            </w:pPr>
          </w:p>
        </w:tc>
        <w:tc>
          <w:tcPr>
            <w:tcW w:w="1276" w:type="dxa"/>
            <w:shd w:val="clear" w:color="auto" w:fill="FFFFFF"/>
            <w:vAlign w:val="bottom"/>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264A60"/>
              </w:rPr>
            </w:pPr>
            <w:r w:rsidRPr="00246CE9">
              <w:rPr>
                <w:rFonts w:ascii="Arial" w:hAnsi="Arial" w:cs="Arial"/>
                <w:b/>
                <w:color w:val="264A60"/>
              </w:rPr>
              <w:t>Απόλυτη συχνότητα</w:t>
            </w:r>
          </w:p>
        </w:tc>
        <w:tc>
          <w:tcPr>
            <w:tcW w:w="1281" w:type="dxa"/>
            <w:shd w:val="clear" w:color="auto" w:fill="FFFFFF"/>
            <w:vAlign w:val="bottom"/>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264A60"/>
              </w:rPr>
            </w:pPr>
            <w:r w:rsidRPr="00246CE9">
              <w:rPr>
                <w:rFonts w:ascii="Arial" w:hAnsi="Arial" w:cs="Arial"/>
                <w:b/>
                <w:color w:val="264A60"/>
              </w:rPr>
              <w:t>Σχετική συχνότητα (%)</w:t>
            </w:r>
          </w:p>
        </w:tc>
        <w:tc>
          <w:tcPr>
            <w:tcW w:w="1559" w:type="dxa"/>
            <w:shd w:val="clear" w:color="auto" w:fill="FFFFFF"/>
            <w:vAlign w:val="bottom"/>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264A60"/>
              </w:rPr>
            </w:pPr>
            <w:r w:rsidRPr="00246CE9">
              <w:rPr>
                <w:rFonts w:ascii="Arial" w:hAnsi="Arial" w:cs="Arial"/>
                <w:b/>
                <w:color w:val="264A60"/>
              </w:rPr>
              <w:t>Αθροιστική σχετική συχνότητα</w:t>
            </w:r>
            <w:r>
              <w:rPr>
                <w:rFonts w:ascii="Arial" w:hAnsi="Arial" w:cs="Arial"/>
                <w:b/>
                <w:color w:val="264A60"/>
              </w:rPr>
              <w:t xml:space="preserve"> (%)</w:t>
            </w:r>
          </w:p>
        </w:tc>
      </w:tr>
      <w:tr w:rsidR="00DC6396" w:rsidRPr="00246CE9" w:rsidTr="008A030E">
        <w:trPr>
          <w:cantSplit/>
          <w:jc w:val="center"/>
        </w:trPr>
        <w:tc>
          <w:tcPr>
            <w:tcW w:w="1707" w:type="dxa"/>
            <w:vMerge w:val="restart"/>
            <w:shd w:val="clear" w:color="auto" w:fill="E0E0E0"/>
          </w:tcPr>
          <w:p w:rsidR="00DC6396" w:rsidRPr="00246CE9" w:rsidRDefault="00DC6396" w:rsidP="008A030E">
            <w:pPr>
              <w:autoSpaceDE w:val="0"/>
              <w:autoSpaceDN w:val="0"/>
              <w:adjustRightInd w:val="0"/>
              <w:spacing w:after="0" w:line="320" w:lineRule="atLeast"/>
              <w:ind w:left="60" w:right="60"/>
              <w:rPr>
                <w:rFonts w:ascii="Arial" w:hAnsi="Arial" w:cs="Arial"/>
                <w:b/>
                <w:color w:val="264A60"/>
              </w:rPr>
            </w:pPr>
            <w:r w:rsidRPr="00246CE9">
              <w:rPr>
                <w:rFonts w:ascii="Arial" w:hAnsi="Arial" w:cs="Arial"/>
                <w:b/>
              </w:rPr>
              <w:t>Πλήθος αθλημάτων</w:t>
            </w: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3137</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77,7</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77,7</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2</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562</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13,9</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91,7</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3</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160</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4,0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95,6</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4</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93</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2,3</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97,9</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5</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34</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,8</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98,8</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6</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19</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,5</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99,3</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7</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7</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,2</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99,4</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8</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,2</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99,7</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9</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3</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99,7</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11</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2</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99,8</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12</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99,8</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13</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99,8</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14</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2</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99,9</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15</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3</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100,0</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16</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100,0</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264A60"/>
              </w:rPr>
            </w:pPr>
            <w:r w:rsidRPr="00246CE9">
              <w:rPr>
                <w:rFonts w:ascii="Arial" w:hAnsi="Arial" w:cs="Arial"/>
                <w:color w:val="264A60"/>
              </w:rPr>
              <w:t>20</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,0</w:t>
            </w:r>
          </w:p>
        </w:tc>
        <w:tc>
          <w:tcPr>
            <w:tcW w:w="1559"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color w:val="010205"/>
              </w:rPr>
            </w:pPr>
            <w:r w:rsidRPr="00246CE9">
              <w:rPr>
                <w:rFonts w:ascii="Arial" w:hAnsi="Arial" w:cs="Arial"/>
                <w:color w:val="010205"/>
              </w:rPr>
              <w:t>100,0</w:t>
            </w:r>
          </w:p>
        </w:tc>
      </w:tr>
      <w:tr w:rsidR="00DC6396" w:rsidRPr="00246CE9" w:rsidTr="008A030E">
        <w:trPr>
          <w:cantSplit/>
          <w:jc w:val="center"/>
        </w:trPr>
        <w:tc>
          <w:tcPr>
            <w:tcW w:w="1707" w:type="dxa"/>
            <w:vMerge/>
            <w:shd w:val="clear" w:color="auto" w:fill="E0E0E0"/>
          </w:tcPr>
          <w:p w:rsidR="00DC6396" w:rsidRPr="00246CE9" w:rsidRDefault="00DC6396" w:rsidP="008A030E">
            <w:pPr>
              <w:autoSpaceDE w:val="0"/>
              <w:autoSpaceDN w:val="0"/>
              <w:adjustRightInd w:val="0"/>
              <w:spacing w:after="0" w:line="240" w:lineRule="auto"/>
              <w:rPr>
                <w:rFonts w:ascii="Arial" w:hAnsi="Arial" w:cs="Arial"/>
                <w:color w:val="010205"/>
              </w:rPr>
            </w:pPr>
          </w:p>
        </w:tc>
        <w:tc>
          <w:tcPr>
            <w:tcW w:w="987" w:type="dxa"/>
            <w:shd w:val="clear" w:color="auto" w:fill="E0E0E0"/>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264A60"/>
              </w:rPr>
            </w:pPr>
            <w:r w:rsidRPr="00094303">
              <w:rPr>
                <w:rFonts w:ascii="Arial" w:hAnsi="Arial" w:cs="Arial"/>
                <w:b/>
                <w:color w:val="264A60"/>
              </w:rPr>
              <w:t>Σύνολο</w:t>
            </w:r>
          </w:p>
        </w:tc>
        <w:tc>
          <w:tcPr>
            <w:tcW w:w="1276"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010205"/>
              </w:rPr>
            </w:pPr>
            <w:r w:rsidRPr="00246CE9">
              <w:rPr>
                <w:rFonts w:ascii="Arial" w:hAnsi="Arial" w:cs="Arial"/>
                <w:b/>
                <w:color w:val="010205"/>
              </w:rPr>
              <w:t>4035</w:t>
            </w:r>
          </w:p>
        </w:tc>
        <w:tc>
          <w:tcPr>
            <w:tcW w:w="1281" w:type="dxa"/>
            <w:shd w:val="clear" w:color="auto" w:fill="FFFFFF"/>
          </w:tcPr>
          <w:p w:rsidR="00DC6396" w:rsidRPr="00246CE9" w:rsidRDefault="00DC6396" w:rsidP="008A030E">
            <w:pPr>
              <w:autoSpaceDE w:val="0"/>
              <w:autoSpaceDN w:val="0"/>
              <w:adjustRightInd w:val="0"/>
              <w:spacing w:after="0" w:line="320" w:lineRule="atLeast"/>
              <w:ind w:left="60" w:right="60"/>
              <w:jc w:val="center"/>
              <w:rPr>
                <w:rFonts w:ascii="Arial" w:hAnsi="Arial" w:cs="Arial"/>
                <w:b/>
                <w:color w:val="010205"/>
              </w:rPr>
            </w:pPr>
            <w:r w:rsidRPr="00246CE9">
              <w:rPr>
                <w:rFonts w:ascii="Arial" w:hAnsi="Arial" w:cs="Arial"/>
                <w:b/>
                <w:color w:val="010205"/>
              </w:rPr>
              <w:t>100,0</w:t>
            </w:r>
          </w:p>
        </w:tc>
        <w:tc>
          <w:tcPr>
            <w:tcW w:w="1559" w:type="dxa"/>
            <w:shd w:val="clear" w:color="auto" w:fill="FFFFFF"/>
            <w:vAlign w:val="center"/>
          </w:tcPr>
          <w:p w:rsidR="00DC6396" w:rsidRPr="00246CE9" w:rsidRDefault="00DC6396" w:rsidP="008A030E">
            <w:pPr>
              <w:autoSpaceDE w:val="0"/>
              <w:autoSpaceDN w:val="0"/>
              <w:adjustRightInd w:val="0"/>
              <w:spacing w:after="0" w:line="240" w:lineRule="auto"/>
              <w:jc w:val="center"/>
              <w:rPr>
                <w:rFonts w:ascii="Times New Roman" w:hAnsi="Times New Roman" w:cs="Times New Roman"/>
              </w:rPr>
            </w:pPr>
          </w:p>
        </w:tc>
      </w:tr>
    </w:tbl>
    <w:p w:rsidR="00DC6396" w:rsidRPr="00246CE9" w:rsidRDefault="00DC6396" w:rsidP="00DC6396">
      <w:pPr>
        <w:autoSpaceDE w:val="0"/>
        <w:autoSpaceDN w:val="0"/>
        <w:adjustRightInd w:val="0"/>
        <w:spacing w:after="0" w:line="400" w:lineRule="atLeast"/>
        <w:rPr>
          <w:rFonts w:ascii="Times New Roman" w:hAnsi="Times New Roman" w:cs="Times New Roman"/>
          <w:sz w:val="24"/>
          <w:szCs w:val="24"/>
        </w:rPr>
      </w:pP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τον πίνακα 2 που απεικονίζει την κ</w:t>
      </w:r>
      <w:r w:rsidRPr="00522833">
        <w:rPr>
          <w:rFonts w:ascii="Times New Roman" w:hAnsi="Times New Roman" w:cs="Times New Roman"/>
          <w:sz w:val="24"/>
          <w:szCs w:val="24"/>
        </w:rPr>
        <w:t>ατανομή του συνόλου των αθλητικών σωματείων σε απόλυτη και σχετική συχνότητα ανά πλήθος αθλημάτων που καλλιεργούν</w:t>
      </w:r>
      <w:r>
        <w:rPr>
          <w:rFonts w:ascii="Times New Roman" w:hAnsi="Times New Roman" w:cs="Times New Roman"/>
          <w:sz w:val="24"/>
          <w:szCs w:val="24"/>
        </w:rPr>
        <w:t>, παρατηρούμε ότι από το σύνολο των  4.035 αθλητικών σωματείων, το 77,7% (3.137 σωματεία) καλλιεργούν ένα άθλημα, το 13,9 % (562 σωματεία) καλλιεργούν δύο αθλήματα και ακολουθούν οι υπόλοιπες κατηγορίες του πλήθους αθλημάτων με τον αντίστοιχο συνολικό αριθμό  αθλητικών σωματείων. Το 98,8% των αθλητικών σωματείων καλλιεργούν αθροιστικά μέχρι 5 αθλήματα.</w:t>
      </w:r>
    </w:p>
    <w:p w:rsidR="00DC6396" w:rsidRDefault="00DC6396" w:rsidP="00DC6396">
      <w:pPr>
        <w:spacing w:line="360" w:lineRule="auto"/>
        <w:ind w:firstLine="720"/>
        <w:jc w:val="both"/>
        <w:rPr>
          <w:rFonts w:ascii="Times New Roman" w:hAnsi="Times New Roman" w:cs="Times New Roman"/>
          <w:sz w:val="24"/>
          <w:szCs w:val="24"/>
        </w:rPr>
        <w:sectPr w:rsidR="00DC6396" w:rsidSect="0085073E">
          <w:footerReference w:type="default" r:id="rId8"/>
          <w:pgSz w:w="11906" w:h="16838"/>
          <w:pgMar w:top="1440" w:right="991" w:bottom="1440" w:left="851" w:header="708" w:footer="708" w:gutter="0"/>
          <w:cols w:space="708"/>
          <w:docGrid w:linePitch="360"/>
        </w:sectPr>
      </w:pPr>
      <w:r>
        <w:rPr>
          <w:rFonts w:ascii="Times New Roman" w:hAnsi="Times New Roman" w:cs="Times New Roman"/>
          <w:sz w:val="24"/>
          <w:szCs w:val="24"/>
        </w:rPr>
        <w:t>Η μεταβλητή πλήθος δηλωμένων προπονητών, παίρνει διάφορες τιμές από το μηδέν (κανένα προπονητή</w:t>
      </w:r>
      <w:r w:rsidRPr="00321F9A">
        <w:rPr>
          <w:rFonts w:ascii="Times New Roman" w:hAnsi="Times New Roman" w:cs="Times New Roman"/>
          <w:sz w:val="24"/>
          <w:szCs w:val="24"/>
        </w:rPr>
        <w:t>)</w:t>
      </w:r>
      <w:r>
        <w:rPr>
          <w:rFonts w:ascii="Times New Roman" w:hAnsi="Times New Roman" w:cs="Times New Roman"/>
          <w:sz w:val="24"/>
          <w:szCs w:val="24"/>
        </w:rPr>
        <w:t xml:space="preserve"> έως το 37, και αφορά τους προπονητές  που δηλώνονται υποχρεωτικά από τα αθλητικά σωματεία με βάση την παρ.5 του άρθρου 31 του Ν.2725/99.  </w:t>
      </w:r>
    </w:p>
    <w:p w:rsidR="00DC6396" w:rsidRPr="00D252F4" w:rsidRDefault="00DC6396" w:rsidP="00DC6396">
      <w:pPr>
        <w:spacing w:line="360" w:lineRule="auto"/>
        <w:ind w:firstLine="720"/>
        <w:jc w:val="both"/>
        <w:rPr>
          <w:rFonts w:ascii="Times New Roman" w:hAnsi="Times New Roman" w:cs="Times New Roman"/>
          <w:b/>
          <w:u w:val="single"/>
        </w:rPr>
      </w:pPr>
      <w:r w:rsidRPr="00D252F4">
        <w:rPr>
          <w:rFonts w:ascii="Times New Roman" w:hAnsi="Times New Roman" w:cs="Times New Roman"/>
          <w:b/>
          <w:u w:val="single"/>
        </w:rPr>
        <w:lastRenderedPageBreak/>
        <w:t>Πίνακας 3: Πίνακας διπλής – εισόδου (</w:t>
      </w:r>
      <w:r w:rsidRPr="00D252F4">
        <w:rPr>
          <w:rFonts w:ascii="Times New Roman" w:hAnsi="Times New Roman" w:cs="Times New Roman"/>
          <w:b/>
          <w:u w:val="single"/>
          <w:lang w:val="en-US"/>
        </w:rPr>
        <w:t>crosstab</w:t>
      </w:r>
      <w:r w:rsidRPr="00D252F4">
        <w:rPr>
          <w:rFonts w:ascii="Times New Roman" w:hAnsi="Times New Roman" w:cs="Times New Roman"/>
          <w:b/>
          <w:u w:val="single"/>
        </w:rPr>
        <w:t>) του συνόλου των αθλητικών σωματείων ανά πλήθος προπονητών (δηλωμένων) και πλήθος αθλημάτων</w:t>
      </w:r>
    </w:p>
    <w:p w:rsidR="00DC6396" w:rsidRPr="003B3B44" w:rsidRDefault="00DC6396" w:rsidP="00DC6396">
      <w:pPr>
        <w:autoSpaceDE w:val="0"/>
        <w:autoSpaceDN w:val="0"/>
        <w:adjustRightInd w:val="0"/>
        <w:spacing w:after="0" w:line="400" w:lineRule="atLeast"/>
        <w:jc w:val="both"/>
        <w:rPr>
          <w:rFonts w:ascii="Times New Roman" w:hAnsi="Times New Roman" w:cs="Times New Roman"/>
          <w:sz w:val="24"/>
          <w:szCs w:val="24"/>
        </w:rPr>
      </w:pPr>
    </w:p>
    <w:p w:rsidR="00DC6396" w:rsidRDefault="00DC6396" w:rsidP="00DC6396">
      <w:pPr>
        <w:spacing w:line="360" w:lineRule="auto"/>
        <w:ind w:hanging="142"/>
        <w:jc w:val="both"/>
        <w:rPr>
          <w:rFonts w:ascii="Times New Roman" w:hAnsi="Times New Roman" w:cs="Times New Roman"/>
          <w:sz w:val="24"/>
          <w:szCs w:val="24"/>
        </w:rPr>
        <w:sectPr w:rsidR="00DC6396" w:rsidSect="00B51A7F">
          <w:pgSz w:w="16838" w:h="11906" w:orient="landscape"/>
          <w:pgMar w:top="567" w:right="395" w:bottom="991" w:left="567" w:header="708" w:footer="708" w:gutter="0"/>
          <w:cols w:space="708"/>
          <w:docGrid w:linePitch="360"/>
        </w:sectPr>
      </w:pPr>
      <w:r w:rsidRPr="00B8421C">
        <w:rPr>
          <w:noProof/>
          <w:sz w:val="24"/>
          <w:szCs w:val="24"/>
          <w:lang w:eastAsia="el-GR"/>
        </w:rPr>
        <w:drawing>
          <wp:inline distT="0" distB="0" distL="0" distR="0" wp14:anchorId="15DF7324" wp14:editId="3850DAAF">
            <wp:extent cx="10238105" cy="5723596"/>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9804" cy="5741317"/>
                    </a:xfrm>
                    <a:prstGeom prst="rect">
                      <a:avLst/>
                    </a:prstGeom>
                    <a:noFill/>
                    <a:ln>
                      <a:noFill/>
                    </a:ln>
                  </pic:spPr>
                </pic:pic>
              </a:graphicData>
            </a:graphic>
          </wp:inline>
        </w:drawing>
      </w:r>
    </w:p>
    <w:p w:rsidR="00DC6396" w:rsidRDefault="00DC6396" w:rsidP="00DC63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Ο πίνακας 3  είναι πίνακας διπλής – εισόδου </w:t>
      </w:r>
      <w:r w:rsidRPr="00D252F4">
        <w:rPr>
          <w:rFonts w:ascii="Times New Roman" w:hAnsi="Times New Roman" w:cs="Times New Roman"/>
          <w:sz w:val="24"/>
          <w:szCs w:val="24"/>
        </w:rPr>
        <w:t>(</w:t>
      </w:r>
      <w:r>
        <w:rPr>
          <w:rFonts w:ascii="Times New Roman" w:hAnsi="Times New Roman" w:cs="Times New Roman"/>
          <w:sz w:val="24"/>
          <w:szCs w:val="24"/>
          <w:lang w:val="en-US"/>
        </w:rPr>
        <w:t>crosstab</w:t>
      </w:r>
      <w:r w:rsidRPr="00D252F4">
        <w:rPr>
          <w:rFonts w:ascii="Times New Roman" w:hAnsi="Times New Roman" w:cs="Times New Roman"/>
          <w:sz w:val="24"/>
          <w:szCs w:val="24"/>
        </w:rPr>
        <w:t xml:space="preserve">) </w:t>
      </w:r>
      <w:r>
        <w:rPr>
          <w:rFonts w:ascii="Times New Roman" w:hAnsi="Times New Roman" w:cs="Times New Roman"/>
          <w:sz w:val="24"/>
          <w:szCs w:val="24"/>
        </w:rPr>
        <w:t xml:space="preserve"> που απεικονίζει  το σύνολο αθλητικών σωματείων ανά κατηγορία  πλήθους προπονητών (δηλωμένων) και   πλήθους  αθλημάτων που καλλιεργούν αντίστοιχα.  Ο συνολικός αριθμός αθλητικών σωματείων είναι  4.035.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Από τον συγκεκριμένο πίνακα διαπιστώνουμε ότι από τα 4.035 αθλητικά σωματεία, τα 1.158 (28,7%) αθλητικά σωματεία δεν δηλώνουν προπονητή, και από τα οποία τα 1.034 (90%)  καλλιεργούν ένα άθλημα.  Από  ένα προπονητή δηλώνουν 1.974 αθλητικά σωματεία,  δηλαδή το 49% των αθλητικών σωματείων    και από αυτά,   τα 1.838  (93%) καλλιεργούν ένα άθλημα. Τα μισά δηλαδή αθλητικά σωματεία  δηλώνουν ένα προπονητή και η  πολύ μεγάλη πλειοψηφία αυτών (93%) καλλιεργούν ένα άθλημα. Ακολουθούν οι υπόλοιποι συνδυασμοί  πλήθους προπονητών και αθλημάτων με τον ανάλογο συνολικό αριθμό αθλητικών σωματείων. Επίσης, παρατηρούμαι ότι υπάρχουν  τρία  αθλητικά σωματεία που καλλιεργούν 15 αθλήματα και δηλώνουν 16, 35 και 37  προπονητές  αντίστοιχα , ενώ υπάρχει και ένα σωματείο  που καλλιεργεί 20 αθλήματα και  δηλώνει 16 προπονητές. </w:t>
      </w:r>
    </w:p>
    <w:p w:rsidR="00DC6396" w:rsidRDefault="00DC6396" w:rsidP="00DC6396">
      <w:pPr>
        <w:spacing w:line="360" w:lineRule="auto"/>
        <w:ind w:firstLine="720"/>
        <w:jc w:val="both"/>
        <w:rPr>
          <w:rFonts w:ascii="Times New Roman" w:hAnsi="Times New Roman" w:cs="Times New Roman"/>
          <w:sz w:val="24"/>
          <w:szCs w:val="24"/>
        </w:rPr>
      </w:pPr>
    </w:p>
    <w:p w:rsidR="00DC6396" w:rsidRDefault="00DC6396" w:rsidP="00DC6396">
      <w:pPr>
        <w:spacing w:line="360" w:lineRule="auto"/>
        <w:ind w:firstLine="720"/>
        <w:jc w:val="both"/>
        <w:rPr>
          <w:rFonts w:ascii="Times New Roman" w:hAnsi="Times New Roman" w:cs="Times New Roman"/>
          <w:sz w:val="24"/>
          <w:szCs w:val="24"/>
        </w:rPr>
      </w:pPr>
    </w:p>
    <w:p w:rsidR="00DC6396" w:rsidRPr="00DC6396" w:rsidRDefault="00DC6396" w:rsidP="00DC6396">
      <w:pPr>
        <w:spacing w:after="200" w:line="276" w:lineRule="auto"/>
        <w:jc w:val="right"/>
        <w:rPr>
          <w:rFonts w:ascii="Calibri" w:eastAsia="Calibri" w:hAnsi="Calibri" w:cs="Times New Roman"/>
          <w:b/>
        </w:rPr>
      </w:pPr>
      <w:r w:rsidRPr="00DC6396">
        <w:rPr>
          <w:rFonts w:ascii="Calibri" w:eastAsia="Calibri" w:hAnsi="Calibri" w:cs="Times New Roman"/>
          <w:b/>
        </w:rPr>
        <w:t>ΜΑΡΙΑ ΘΕΟΧΑΡΗ  (Προϊσταμένη)</w:t>
      </w:r>
    </w:p>
    <w:p w:rsidR="00DC6396" w:rsidRPr="00DC6396" w:rsidRDefault="00DC6396" w:rsidP="00DC6396">
      <w:pPr>
        <w:spacing w:after="200" w:line="276" w:lineRule="auto"/>
        <w:jc w:val="right"/>
        <w:rPr>
          <w:rFonts w:ascii="Calibri" w:eastAsia="Calibri" w:hAnsi="Calibri" w:cs="Times New Roman"/>
          <w:b/>
        </w:rPr>
      </w:pPr>
    </w:p>
    <w:p w:rsidR="00DC6396" w:rsidRPr="00DC6396" w:rsidRDefault="00DC6396" w:rsidP="00DC6396">
      <w:pPr>
        <w:spacing w:after="200" w:line="276" w:lineRule="auto"/>
        <w:jc w:val="right"/>
        <w:rPr>
          <w:rFonts w:ascii="Calibri" w:eastAsia="Calibri" w:hAnsi="Calibri" w:cs="Times New Roman"/>
          <w:b/>
        </w:rPr>
      </w:pPr>
      <w:r w:rsidRPr="00DC6396">
        <w:rPr>
          <w:rFonts w:ascii="Calibri" w:eastAsia="Calibri" w:hAnsi="Calibri" w:cs="Times New Roman"/>
          <w:b/>
        </w:rPr>
        <w:t xml:space="preserve">                                                                  ΕΛΕΑΝΝΑ ΠΑΠΑΔΟΠΟΥΛΟΥ</w:t>
      </w:r>
    </w:p>
    <w:p w:rsidR="00DC6396" w:rsidRPr="00DC6396" w:rsidRDefault="00DC6396" w:rsidP="00DC6396">
      <w:pPr>
        <w:spacing w:after="200" w:line="276" w:lineRule="auto"/>
        <w:jc w:val="right"/>
        <w:rPr>
          <w:rFonts w:ascii="Calibri" w:eastAsia="Calibri" w:hAnsi="Calibri" w:cs="Times New Roman"/>
          <w:b/>
        </w:rPr>
      </w:pPr>
      <w:r w:rsidRPr="00DC6396">
        <w:rPr>
          <w:rFonts w:ascii="Calibri" w:eastAsia="Calibri" w:hAnsi="Calibri" w:cs="Times New Roman"/>
          <w:b/>
        </w:rPr>
        <w:tab/>
      </w:r>
      <w:r w:rsidRPr="00DC6396">
        <w:rPr>
          <w:rFonts w:ascii="Calibri" w:eastAsia="Calibri" w:hAnsi="Calibri" w:cs="Times New Roman"/>
          <w:b/>
        </w:rPr>
        <w:tab/>
      </w:r>
      <w:r w:rsidRPr="00DC6396">
        <w:rPr>
          <w:rFonts w:ascii="Calibri" w:eastAsia="Calibri" w:hAnsi="Calibri" w:cs="Times New Roman"/>
          <w:b/>
        </w:rPr>
        <w:tab/>
        <w:t xml:space="preserve">              </w:t>
      </w:r>
    </w:p>
    <w:p w:rsidR="00DC6396" w:rsidRPr="00DC6396" w:rsidRDefault="00DC6396" w:rsidP="00DC6396">
      <w:pPr>
        <w:spacing w:after="200" w:line="276" w:lineRule="auto"/>
        <w:jc w:val="both"/>
        <w:rPr>
          <w:rFonts w:ascii="Times New Roman" w:eastAsia="Calibri" w:hAnsi="Times New Roman" w:cs="Times New Roman"/>
          <w:b/>
          <w:sz w:val="24"/>
          <w:szCs w:val="24"/>
        </w:rPr>
      </w:pPr>
      <w:r w:rsidRPr="00DC6396">
        <w:rPr>
          <w:rFonts w:ascii="Calibri" w:eastAsia="Calibri" w:hAnsi="Calibri" w:cs="Times New Roman"/>
          <w:b/>
        </w:rPr>
        <w:t xml:space="preserve">                                                                                                                    </w:t>
      </w:r>
      <w:r w:rsidRPr="002067A0">
        <w:rPr>
          <w:rFonts w:ascii="Calibri" w:eastAsia="Calibri" w:hAnsi="Calibri" w:cs="Times New Roman"/>
          <w:b/>
        </w:rPr>
        <w:t xml:space="preserve">                                    </w:t>
      </w:r>
      <w:r w:rsidRPr="00DC6396">
        <w:rPr>
          <w:rFonts w:ascii="Calibri" w:eastAsia="Calibri" w:hAnsi="Calibri" w:cs="Times New Roman"/>
          <w:b/>
        </w:rPr>
        <w:t>ΑΝΑΣΤΑΣΙΟΣ ΜΠΑΣΙΟΥΚΑΣ</w:t>
      </w:r>
    </w:p>
    <w:p w:rsidR="00DC6396" w:rsidRPr="006972D2" w:rsidRDefault="00DC6396" w:rsidP="00DC6396">
      <w:pPr>
        <w:spacing w:line="360" w:lineRule="auto"/>
        <w:ind w:firstLine="720"/>
        <w:jc w:val="both"/>
        <w:rPr>
          <w:rFonts w:ascii="Times New Roman" w:hAnsi="Times New Roman" w:cs="Times New Roman"/>
          <w:sz w:val="24"/>
          <w:szCs w:val="24"/>
        </w:rPr>
        <w:sectPr w:rsidR="00DC6396" w:rsidRPr="006972D2" w:rsidSect="0085073E">
          <w:pgSz w:w="11906" w:h="16838"/>
          <w:pgMar w:top="1440" w:right="991" w:bottom="1440" w:left="851" w:header="708" w:footer="708" w:gutter="0"/>
          <w:cols w:space="708"/>
          <w:docGrid w:linePitch="360"/>
        </w:sectPr>
      </w:pPr>
    </w:p>
    <w:p w:rsidR="00EE3A1E" w:rsidRDefault="00EE3A1E"/>
    <w:sectPr w:rsidR="00EE3A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FA" w:rsidRDefault="00897AFA">
      <w:pPr>
        <w:spacing w:after="0" w:line="240" w:lineRule="auto"/>
      </w:pPr>
      <w:r>
        <w:separator/>
      </w:r>
    </w:p>
  </w:endnote>
  <w:endnote w:type="continuationSeparator" w:id="0">
    <w:p w:rsidR="00897AFA" w:rsidRDefault="008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89329"/>
      <w:docPartObj>
        <w:docPartGallery w:val="Page Numbers (Bottom of Page)"/>
        <w:docPartUnique/>
      </w:docPartObj>
    </w:sdtPr>
    <w:sdtEndPr/>
    <w:sdtContent>
      <w:p w:rsidR="005E02CB" w:rsidRDefault="008230D4">
        <w:pPr>
          <w:pStyle w:val="a3"/>
          <w:jc w:val="center"/>
        </w:pPr>
        <w:r>
          <w:fldChar w:fldCharType="begin"/>
        </w:r>
        <w:r>
          <w:instrText>PAGE   \* MERGEFORMAT</w:instrText>
        </w:r>
        <w:r>
          <w:fldChar w:fldCharType="separate"/>
        </w:r>
        <w:r w:rsidR="002067A0">
          <w:rPr>
            <w:noProof/>
          </w:rPr>
          <w:t>7</w:t>
        </w:r>
        <w:r>
          <w:fldChar w:fldCharType="end"/>
        </w:r>
      </w:p>
    </w:sdtContent>
  </w:sdt>
  <w:p w:rsidR="00086539" w:rsidRDefault="00897AF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FA" w:rsidRDefault="00897AFA">
      <w:pPr>
        <w:spacing w:after="0" w:line="240" w:lineRule="auto"/>
      </w:pPr>
      <w:r>
        <w:separator/>
      </w:r>
    </w:p>
  </w:footnote>
  <w:footnote w:type="continuationSeparator" w:id="0">
    <w:p w:rsidR="00897AFA" w:rsidRDefault="00897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F4"/>
    <w:rsid w:val="002067A0"/>
    <w:rsid w:val="003502F4"/>
    <w:rsid w:val="00765E55"/>
    <w:rsid w:val="008230D4"/>
    <w:rsid w:val="00897AFA"/>
    <w:rsid w:val="00DC6396"/>
    <w:rsid w:val="00EE3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4825"/>
  <w15:chartTrackingRefBased/>
  <w15:docId w15:val="{B8A71606-3A69-49F5-B64A-05E5153D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C6396"/>
    <w:pPr>
      <w:tabs>
        <w:tab w:val="center" w:pos="4153"/>
        <w:tab w:val="right" w:pos="8306"/>
      </w:tabs>
      <w:spacing w:after="0" w:line="240" w:lineRule="auto"/>
    </w:pPr>
  </w:style>
  <w:style w:type="character" w:customStyle="1" w:styleId="Char">
    <w:name w:val="Υποσέλιδο Char"/>
    <w:basedOn w:val="a0"/>
    <w:link w:val="a3"/>
    <w:uiPriority w:val="99"/>
    <w:rsid w:val="00DC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5164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Eleanna Papadopoulou</dc:creator>
  <cp:keywords/>
  <dc:description/>
  <cp:lastModifiedBy>Eleanna Papadopoulou</cp:lastModifiedBy>
  <cp:revision>3</cp:revision>
  <dcterms:created xsi:type="dcterms:W3CDTF">2022-01-18T09:21:00Z</dcterms:created>
  <dcterms:modified xsi:type="dcterms:W3CDTF">2022-01-18T09:32:00Z</dcterms:modified>
</cp:coreProperties>
</file>